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0493" w14:textId="230B4807" w:rsidR="003446F9" w:rsidRPr="00301803" w:rsidRDefault="003446F9" w:rsidP="003446F9">
      <w:pPr>
        <w:pStyle w:val="CRCoverPage"/>
        <w:tabs>
          <w:tab w:val="right" w:pos="9639"/>
        </w:tabs>
        <w:spacing w:after="0"/>
        <w:rPr>
          <w:b/>
          <w:i/>
          <w:noProof/>
          <w:sz w:val="28"/>
          <w:lang w:val="en-US"/>
        </w:rPr>
      </w:pPr>
      <w:r>
        <w:rPr>
          <w:b/>
          <w:noProof/>
          <w:sz w:val="24"/>
        </w:rPr>
        <w:t>3GPP TSG-</w:t>
      </w:r>
      <w:r w:rsidR="00601957">
        <w:fldChar w:fldCharType="begin"/>
      </w:r>
      <w:r w:rsidR="00601957">
        <w:instrText xml:space="preserve"> DOCPROPERTY  TSG/WGRef  \* MERGEFORMAT </w:instrText>
      </w:r>
      <w:r w:rsidR="00601957">
        <w:fldChar w:fldCharType="separate"/>
      </w:r>
      <w:r>
        <w:rPr>
          <w:b/>
          <w:noProof/>
          <w:sz w:val="24"/>
        </w:rPr>
        <w:t>RAN4</w:t>
      </w:r>
      <w:r w:rsidR="00601957">
        <w:rPr>
          <w:b/>
          <w:noProof/>
          <w:sz w:val="24"/>
        </w:rPr>
        <w:fldChar w:fldCharType="end"/>
      </w:r>
      <w:r>
        <w:rPr>
          <w:b/>
          <w:noProof/>
          <w:sz w:val="24"/>
        </w:rPr>
        <w:t xml:space="preserve"> Meeting #</w:t>
      </w:r>
      <w:r w:rsidRPr="00301803">
        <w:rPr>
          <w:b/>
          <w:noProof/>
          <w:sz w:val="24"/>
        </w:rPr>
        <w:t>10</w:t>
      </w:r>
      <w:r>
        <w:rPr>
          <w:b/>
          <w:noProof/>
          <w:sz w:val="24"/>
        </w:rPr>
        <w:t>1</w:t>
      </w:r>
      <w:r w:rsidR="00DA4895">
        <w:rPr>
          <w:b/>
          <w:noProof/>
          <w:sz w:val="24"/>
        </w:rPr>
        <w:t>-bis</w:t>
      </w:r>
      <w:r>
        <w:rPr>
          <w:b/>
          <w:noProof/>
          <w:sz w:val="24"/>
        </w:rPr>
        <w:fldChar w:fldCharType="begin"/>
      </w:r>
      <w:r w:rsidRPr="00301803">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F877AF" w:rsidRPr="00F877AF">
        <w:rPr>
          <w:b/>
          <w:noProof/>
          <w:sz w:val="24"/>
        </w:rPr>
        <w:t>R4-2201760</w:t>
      </w:r>
    </w:p>
    <w:p w14:paraId="6F376465" w14:textId="77777777" w:rsidR="00DA4895" w:rsidRPr="004E2857" w:rsidRDefault="00DA4895" w:rsidP="00DA4895">
      <w:pPr>
        <w:pStyle w:val="Header"/>
        <w:tabs>
          <w:tab w:val="right" w:pos="9781"/>
          <w:tab w:val="right" w:pos="13323"/>
        </w:tabs>
        <w:outlineLvl w:val="0"/>
        <w:rPr>
          <w:rFonts w:eastAsia="SimSun" w:cs="Arial"/>
          <w:b w:val="0"/>
          <w:sz w:val="24"/>
          <w:szCs w:val="24"/>
        </w:rPr>
      </w:pPr>
      <w:r w:rsidRPr="004E2857">
        <w:rPr>
          <w:rFonts w:eastAsia="SimSun" w:cs="Arial"/>
          <w:sz w:val="24"/>
          <w:szCs w:val="24"/>
        </w:rPr>
        <w:t>Electronic Meeting, January 17-25, 2022</w:t>
      </w:r>
    </w:p>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4C651D8C"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0" w:name="Source"/>
      <w:bookmarkEnd w:id="0"/>
      <w:r w:rsidRPr="006C079A">
        <w:rPr>
          <w:rFonts w:ascii="Arial" w:hAnsi="Arial" w:cs="Arial"/>
          <w:b/>
        </w:rPr>
        <w:tab/>
      </w:r>
      <w:r w:rsidR="00DA4895">
        <w:rPr>
          <w:rFonts w:ascii="Arial" w:hAnsi="Arial" w:cs="Arial"/>
          <w:b/>
        </w:rPr>
        <w:t>6</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026552">
        <w:rPr>
          <w:rFonts w:ascii="Arial" w:hAnsi="Arial" w:cs="Arial"/>
          <w:b/>
        </w:rPr>
        <w:t>4</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614CE53B"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26552" w:rsidRPr="00026552">
        <w:rPr>
          <w:rFonts w:ascii="Arial" w:hAnsi="Arial" w:cs="Arial"/>
          <w:b/>
        </w:rPr>
        <w:t xml:space="preserve">On capability </w:t>
      </w:r>
      <w:r w:rsidR="00DA4895">
        <w:rPr>
          <w:rFonts w:ascii="Arial" w:hAnsi="Arial" w:cs="Arial"/>
          <w:b/>
        </w:rPr>
        <w:t>and NCD-SSB design</w:t>
      </w:r>
      <w:r w:rsidR="00026552" w:rsidRPr="00026552">
        <w:rPr>
          <w:rFonts w:ascii="Arial" w:hAnsi="Arial" w:cs="Arial"/>
          <w:b/>
        </w:rPr>
        <w:t xml:space="preserve"> for RedCap</w:t>
      </w:r>
      <w:r w:rsidR="00DA4895">
        <w:rPr>
          <w:rFonts w:ascii="Arial" w:hAnsi="Arial" w:cs="Arial"/>
          <w:b/>
        </w:rPr>
        <w:t xml:space="preserve"> RRM</w:t>
      </w:r>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1" w:name="DocumentFor"/>
      <w:bookmarkEnd w:id="1"/>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0AF15" w14:textId="044C0EB2" w:rsidR="00B23F53" w:rsidRDefault="00721CBC" w:rsidP="00873515">
      <w:pPr>
        <w:jc w:val="both"/>
      </w:pPr>
      <w:r>
        <w:t>Regarding the capability and NCD-SSB design, RAN1 and RAN2 had LS agreed in last meeting, summarized as following</w:t>
      </w:r>
      <w:r w:rsidR="00026552">
        <w:t>.</w:t>
      </w:r>
    </w:p>
    <w:p w14:paraId="73576360" w14:textId="74129F9E" w:rsidR="00721CBC" w:rsidRPr="00721CBC" w:rsidRDefault="00721CBC" w:rsidP="00721CBC">
      <w:pPr>
        <w:pStyle w:val="ListParagraph"/>
        <w:numPr>
          <w:ilvl w:val="0"/>
          <w:numId w:val="35"/>
        </w:numPr>
        <w:spacing w:before="0" w:beforeAutospacing="0"/>
        <w:ind w:firstLineChars="0"/>
        <w:jc w:val="both"/>
        <w:rPr>
          <w:sz w:val="24"/>
          <w:szCs w:val="24"/>
        </w:rPr>
      </w:pPr>
      <w:r w:rsidRPr="00721CBC">
        <w:rPr>
          <w:sz w:val="24"/>
          <w:szCs w:val="24"/>
          <w:lang w:val="en-US"/>
        </w:rPr>
        <w:t>RedCap feature capability (RAN1 LS: R4-2200038/R1-2112754)</w:t>
      </w:r>
    </w:p>
    <w:tbl>
      <w:tblPr>
        <w:tblStyle w:val="TableGrid"/>
        <w:tblW w:w="0" w:type="auto"/>
        <w:tblLook w:val="04A0" w:firstRow="1" w:lastRow="0" w:firstColumn="1" w:lastColumn="0" w:noHBand="0" w:noVBand="1"/>
      </w:tblPr>
      <w:tblGrid>
        <w:gridCol w:w="9629"/>
      </w:tblGrid>
      <w:tr w:rsidR="00721CBC" w:rsidRPr="00721CBC" w14:paraId="71DB4462" w14:textId="77777777" w:rsidTr="00721CBC">
        <w:tc>
          <w:tcPr>
            <w:tcW w:w="9629" w:type="dxa"/>
          </w:tcPr>
          <w:p w14:paraId="23E1A56C" w14:textId="77777777" w:rsidR="00721CBC" w:rsidRPr="00721CBC" w:rsidRDefault="00721CBC" w:rsidP="00721CBC">
            <w:pPr>
              <w:spacing w:before="0" w:beforeAutospacing="0" w:after="0" w:line="252" w:lineRule="auto"/>
              <w:rPr>
                <w:rFonts w:eastAsia="Calibri"/>
                <w:sz w:val="20"/>
                <w:szCs w:val="20"/>
              </w:rPr>
            </w:pPr>
            <w:r w:rsidRPr="00721CBC">
              <w:rPr>
                <w:rFonts w:eastAsia="Calibri"/>
                <w:sz w:val="20"/>
                <w:szCs w:val="20"/>
              </w:rPr>
              <w:t>The following Rel-15/16 UE features or capabilities are not applicable for Rel-17 RedCap UEs:</w:t>
            </w:r>
          </w:p>
          <w:p w14:paraId="2293ED43" w14:textId="77777777" w:rsidR="00721CBC" w:rsidRPr="00721CBC" w:rsidRDefault="00721CBC" w:rsidP="00721CBC">
            <w:pPr>
              <w:pStyle w:val="ListParagraph"/>
              <w:widowControl/>
              <w:numPr>
                <w:ilvl w:val="0"/>
                <w:numId w:val="36"/>
              </w:numPr>
              <w:overflowPunct w:val="0"/>
              <w:spacing w:before="0" w:beforeAutospacing="0" w:line="252" w:lineRule="auto"/>
              <w:ind w:firstLineChars="0"/>
              <w:contextualSpacing/>
              <w:textAlignment w:val="baseline"/>
              <w:rPr>
                <w:rFonts w:eastAsia="Calibri"/>
                <w:sz w:val="20"/>
                <w:szCs w:val="20"/>
                <w:lang w:val="en-US"/>
              </w:rPr>
            </w:pPr>
            <w:r w:rsidRPr="00721CBC">
              <w:rPr>
                <w:rFonts w:eastAsia="Calibri"/>
                <w:sz w:val="20"/>
                <w:szCs w:val="20"/>
                <w:lang w:val="en-US"/>
              </w:rPr>
              <w:t>Capabilities related to carrier aggregation (CA)</w:t>
            </w:r>
          </w:p>
          <w:p w14:paraId="2001F2B1" w14:textId="77777777" w:rsidR="00721CBC" w:rsidRPr="00721CBC" w:rsidRDefault="00721CBC" w:rsidP="00721CBC">
            <w:pPr>
              <w:pStyle w:val="ListParagraph"/>
              <w:widowControl/>
              <w:numPr>
                <w:ilvl w:val="0"/>
                <w:numId w:val="36"/>
              </w:numPr>
              <w:overflowPunct w:val="0"/>
              <w:spacing w:before="0" w:beforeAutospacing="0" w:line="252" w:lineRule="auto"/>
              <w:ind w:firstLineChars="0"/>
              <w:contextualSpacing/>
              <w:textAlignment w:val="baseline"/>
              <w:rPr>
                <w:rFonts w:eastAsia="Calibri"/>
                <w:sz w:val="20"/>
                <w:szCs w:val="20"/>
                <w:lang w:val="en-US"/>
              </w:rPr>
            </w:pPr>
            <w:r w:rsidRPr="00721CBC">
              <w:rPr>
                <w:rFonts w:eastAsia="Calibri"/>
                <w:sz w:val="20"/>
                <w:szCs w:val="20"/>
                <w:lang w:val="en-US"/>
              </w:rPr>
              <w:t>Capabilities related to dual connectivity (DC)</w:t>
            </w:r>
          </w:p>
          <w:p w14:paraId="05C8317E" w14:textId="77777777" w:rsidR="00721CBC" w:rsidRPr="00721CBC" w:rsidRDefault="00721CBC" w:rsidP="00721CBC">
            <w:pPr>
              <w:pStyle w:val="ListParagraph"/>
              <w:widowControl/>
              <w:numPr>
                <w:ilvl w:val="0"/>
                <w:numId w:val="36"/>
              </w:numPr>
              <w:overflowPunct w:val="0"/>
              <w:spacing w:before="0" w:beforeAutospacing="0" w:line="252" w:lineRule="auto"/>
              <w:ind w:firstLineChars="0"/>
              <w:contextualSpacing/>
              <w:textAlignment w:val="baseline"/>
              <w:rPr>
                <w:rFonts w:eastAsia="Calibri"/>
                <w:sz w:val="20"/>
                <w:szCs w:val="20"/>
                <w:lang w:val="en-US"/>
              </w:rPr>
            </w:pPr>
            <w:r w:rsidRPr="00721CBC">
              <w:rPr>
                <w:rFonts w:eastAsia="Calibri"/>
                <w:sz w:val="20"/>
                <w:szCs w:val="20"/>
                <w:lang w:val="en-US"/>
              </w:rPr>
              <w:t>Capabilities related to UE bandwidths wider than 20 MHz in FR1 or wider than 100 MHz in FR2</w:t>
            </w:r>
          </w:p>
          <w:p w14:paraId="6C1F634C" w14:textId="77777777" w:rsidR="00721CBC" w:rsidRPr="00721CBC" w:rsidRDefault="00721CBC" w:rsidP="00721CBC">
            <w:pPr>
              <w:pStyle w:val="ListParagraph"/>
              <w:widowControl/>
              <w:numPr>
                <w:ilvl w:val="0"/>
                <w:numId w:val="36"/>
              </w:numPr>
              <w:overflowPunct w:val="0"/>
              <w:spacing w:before="0" w:beforeAutospacing="0" w:line="252" w:lineRule="auto"/>
              <w:ind w:firstLineChars="0"/>
              <w:contextualSpacing/>
              <w:textAlignment w:val="baseline"/>
              <w:rPr>
                <w:rFonts w:eastAsia="Calibri"/>
                <w:sz w:val="20"/>
                <w:szCs w:val="20"/>
                <w:lang w:val="en-US"/>
              </w:rPr>
            </w:pPr>
            <w:r w:rsidRPr="00721CBC">
              <w:rPr>
                <w:rFonts w:eastAsia="Calibri"/>
                <w:sz w:val="20"/>
                <w:szCs w:val="20"/>
                <w:lang w:val="en-US"/>
              </w:rPr>
              <w:t>Capabilities related to more than 2 UE Rx branches or more than 2 DL MIMO layers</w:t>
            </w:r>
          </w:p>
          <w:p w14:paraId="2CC3E2A9" w14:textId="19D546C2" w:rsidR="00721CBC" w:rsidRPr="00721CBC" w:rsidRDefault="00721CBC" w:rsidP="00721CBC">
            <w:pPr>
              <w:pStyle w:val="ListParagraph"/>
              <w:widowControl/>
              <w:numPr>
                <w:ilvl w:val="0"/>
                <w:numId w:val="36"/>
              </w:numPr>
              <w:overflowPunct w:val="0"/>
              <w:spacing w:before="0" w:beforeAutospacing="0" w:line="252" w:lineRule="auto"/>
              <w:ind w:firstLineChars="0"/>
              <w:contextualSpacing/>
              <w:textAlignment w:val="baseline"/>
              <w:rPr>
                <w:rFonts w:eastAsia="Calibri"/>
                <w:sz w:val="24"/>
                <w:szCs w:val="24"/>
                <w:lang w:val="en-US"/>
              </w:rPr>
            </w:pPr>
            <w:r w:rsidRPr="00721CBC">
              <w:rPr>
                <w:rFonts w:eastAsia="Calibri"/>
                <w:sz w:val="20"/>
                <w:szCs w:val="20"/>
                <w:lang w:val="en-US"/>
              </w:rPr>
              <w:t>Capabilities related to more than 2 UE Tx branches or more than 2 UL MIMO layers</w:t>
            </w:r>
          </w:p>
        </w:tc>
      </w:tr>
    </w:tbl>
    <w:p w14:paraId="32019F70" w14:textId="77777777" w:rsidR="00721CBC" w:rsidRPr="00721CBC" w:rsidRDefault="00721CBC" w:rsidP="00721CBC">
      <w:pPr>
        <w:pStyle w:val="ListParagraph"/>
        <w:spacing w:before="0" w:beforeAutospacing="0"/>
        <w:ind w:left="720" w:firstLineChars="0" w:firstLine="0"/>
        <w:jc w:val="both"/>
        <w:rPr>
          <w:sz w:val="24"/>
          <w:szCs w:val="24"/>
        </w:rPr>
      </w:pPr>
    </w:p>
    <w:p w14:paraId="390E5997" w14:textId="2E729462" w:rsidR="00721CBC" w:rsidRPr="00721CBC" w:rsidRDefault="00721CBC" w:rsidP="00721CBC">
      <w:pPr>
        <w:pStyle w:val="ListParagraph"/>
        <w:numPr>
          <w:ilvl w:val="0"/>
          <w:numId w:val="35"/>
        </w:numPr>
        <w:spacing w:before="0" w:beforeAutospacing="0"/>
        <w:ind w:firstLineChars="0"/>
        <w:jc w:val="both"/>
        <w:rPr>
          <w:sz w:val="24"/>
          <w:szCs w:val="24"/>
        </w:rPr>
      </w:pPr>
      <w:r>
        <w:rPr>
          <w:sz w:val="24"/>
          <w:szCs w:val="24"/>
          <w:lang w:val="en-US"/>
        </w:rPr>
        <w:t>NCD-SSB</w:t>
      </w:r>
      <w:r w:rsidRPr="00721CBC">
        <w:rPr>
          <w:sz w:val="24"/>
          <w:szCs w:val="24"/>
          <w:lang w:val="en-US"/>
        </w:rPr>
        <w:t xml:space="preserve"> (RAN1 LS: R4-2200044/R1-2112802</w:t>
      </w:r>
      <w:r>
        <w:rPr>
          <w:sz w:val="24"/>
          <w:szCs w:val="24"/>
          <w:lang w:val="en-US"/>
        </w:rPr>
        <w:t xml:space="preserve"> and RAN2 LS </w:t>
      </w:r>
      <w:r w:rsidRPr="00721CBC">
        <w:rPr>
          <w:sz w:val="24"/>
          <w:szCs w:val="24"/>
          <w:lang w:val="en-US"/>
        </w:rPr>
        <w:t>R4-2200028</w:t>
      </w:r>
      <w:r>
        <w:rPr>
          <w:sz w:val="24"/>
          <w:szCs w:val="24"/>
          <w:lang w:val="en-US"/>
        </w:rPr>
        <w:t>/</w:t>
      </w:r>
      <w:r w:rsidRPr="00721CBC">
        <w:t xml:space="preserve"> </w:t>
      </w:r>
      <w:r w:rsidRPr="00721CBC">
        <w:rPr>
          <w:sz w:val="24"/>
          <w:szCs w:val="24"/>
          <w:lang w:val="en-US"/>
        </w:rPr>
        <w:t>R2- 2111545)</w:t>
      </w:r>
    </w:p>
    <w:tbl>
      <w:tblPr>
        <w:tblStyle w:val="TableGrid"/>
        <w:tblW w:w="0" w:type="auto"/>
        <w:tblLook w:val="04A0" w:firstRow="1" w:lastRow="0" w:firstColumn="1" w:lastColumn="0" w:noHBand="0" w:noVBand="1"/>
      </w:tblPr>
      <w:tblGrid>
        <w:gridCol w:w="9629"/>
      </w:tblGrid>
      <w:tr w:rsidR="00721CBC" w:rsidRPr="00721CBC" w14:paraId="032CD100" w14:textId="77777777" w:rsidTr="00C95586">
        <w:tc>
          <w:tcPr>
            <w:tcW w:w="9629" w:type="dxa"/>
          </w:tcPr>
          <w:p w14:paraId="0E9441EB" w14:textId="77777777" w:rsidR="00721CBC" w:rsidRPr="00721CBC" w:rsidRDefault="00721CBC" w:rsidP="00721CBC">
            <w:pPr>
              <w:overflowPunct/>
              <w:autoSpaceDE/>
              <w:autoSpaceDN/>
              <w:adjustRightInd/>
              <w:spacing w:before="0" w:beforeAutospacing="0" w:after="0"/>
              <w:textAlignment w:val="auto"/>
              <w:rPr>
                <w:bCs/>
                <w:sz w:val="20"/>
                <w:szCs w:val="20"/>
                <w:highlight w:val="green"/>
                <w:lang w:eastAsia="en-US"/>
              </w:rPr>
            </w:pPr>
            <w:r w:rsidRPr="00721CBC">
              <w:rPr>
                <w:bCs/>
                <w:sz w:val="20"/>
                <w:szCs w:val="20"/>
                <w:highlight w:val="green"/>
                <w:lang w:eastAsia="en-US"/>
              </w:rPr>
              <w:t>Agreement:</w:t>
            </w:r>
          </w:p>
          <w:p w14:paraId="68B18D04" w14:textId="77777777" w:rsidR="00721CBC" w:rsidRPr="00721CBC" w:rsidRDefault="00721CBC" w:rsidP="00721CBC">
            <w:pPr>
              <w:numPr>
                <w:ilvl w:val="0"/>
                <w:numId w:val="15"/>
              </w:numPr>
              <w:overflowPunct/>
              <w:autoSpaceDE/>
              <w:autoSpaceDN/>
              <w:adjustRightInd/>
              <w:spacing w:before="0" w:beforeAutospacing="0" w:after="0" w:line="252" w:lineRule="auto"/>
              <w:textAlignment w:val="auto"/>
              <w:rPr>
                <w:bCs/>
                <w:sz w:val="20"/>
                <w:szCs w:val="20"/>
                <w:lang w:eastAsia="en-US"/>
              </w:rPr>
            </w:pPr>
            <w:r w:rsidRPr="00721CBC">
              <w:rPr>
                <w:bCs/>
                <w:sz w:val="20"/>
                <w:szCs w:val="20"/>
                <w:lang w:eastAsia="en-US"/>
              </w:rPr>
              <w:t>For both FR1 and FR2, for a cell that allows a RedCap UE to access, network can configure a separate initial DL BWP for RedCap UEs in SIB. At least the case when the separate initial DL BWP includes CD-</w:t>
            </w:r>
            <w:proofErr w:type="gramStart"/>
            <w:r w:rsidRPr="00721CBC">
              <w:rPr>
                <w:bCs/>
                <w:sz w:val="20"/>
                <w:szCs w:val="20"/>
                <w:lang w:eastAsia="en-US"/>
              </w:rPr>
              <w:t>SSB</w:t>
            </w:r>
            <w:proofErr w:type="gramEnd"/>
            <w:r w:rsidRPr="00721CBC">
              <w:rPr>
                <w:bCs/>
                <w:sz w:val="20"/>
                <w:szCs w:val="20"/>
                <w:lang w:eastAsia="en-US"/>
              </w:rPr>
              <w:t xml:space="preserve"> and the entire CORESET#0 is supported</w:t>
            </w:r>
          </w:p>
          <w:p w14:paraId="7E7BB894" w14:textId="77777777" w:rsidR="00721CBC" w:rsidRPr="00721CBC" w:rsidRDefault="00721CBC" w:rsidP="00721CBC">
            <w:pPr>
              <w:numPr>
                <w:ilvl w:val="1"/>
                <w:numId w:val="15"/>
              </w:numPr>
              <w:overflowPunct/>
              <w:autoSpaceDE/>
              <w:autoSpaceDN/>
              <w:adjustRightInd/>
              <w:spacing w:before="0" w:beforeAutospacing="0" w:after="0" w:line="252" w:lineRule="auto"/>
              <w:textAlignment w:val="auto"/>
              <w:rPr>
                <w:bCs/>
                <w:sz w:val="20"/>
                <w:szCs w:val="20"/>
                <w:lang w:eastAsia="en-US"/>
              </w:rPr>
            </w:pPr>
            <w:r w:rsidRPr="00721CBC">
              <w:rPr>
                <w:bCs/>
                <w:sz w:val="20"/>
                <w:szCs w:val="20"/>
                <w:lang w:eastAsia="en-US"/>
              </w:rPr>
              <w:t>It can be used in idle/inactive mode (including paging) and during and after initial access, when applicable</w:t>
            </w:r>
          </w:p>
          <w:p w14:paraId="6B64F5B5" w14:textId="77777777" w:rsidR="00721CBC" w:rsidRPr="00721CBC" w:rsidRDefault="00721CBC" w:rsidP="00721CBC">
            <w:pPr>
              <w:numPr>
                <w:ilvl w:val="1"/>
                <w:numId w:val="15"/>
              </w:numPr>
              <w:overflowPunct/>
              <w:autoSpaceDE/>
              <w:autoSpaceDN/>
              <w:adjustRightInd/>
              <w:spacing w:before="0" w:beforeAutospacing="0" w:after="0" w:line="252" w:lineRule="auto"/>
              <w:textAlignment w:val="auto"/>
              <w:rPr>
                <w:bCs/>
                <w:sz w:val="20"/>
                <w:szCs w:val="20"/>
                <w:lang w:eastAsia="en-US"/>
              </w:rPr>
            </w:pPr>
            <w:r w:rsidRPr="00721CBC">
              <w:rPr>
                <w:bCs/>
                <w:sz w:val="20"/>
                <w:szCs w:val="20"/>
                <w:lang w:eastAsia="en-US"/>
              </w:rPr>
              <w:t>It is no wider than the maximum RedCap UE bandwidth.</w:t>
            </w:r>
          </w:p>
          <w:p w14:paraId="0FEC5223" w14:textId="69FCD626" w:rsidR="00721CBC" w:rsidRPr="00721CBC" w:rsidRDefault="00721CBC" w:rsidP="00721CBC">
            <w:pPr>
              <w:numPr>
                <w:ilvl w:val="1"/>
                <w:numId w:val="15"/>
              </w:numPr>
              <w:overflowPunct/>
              <w:autoSpaceDE/>
              <w:autoSpaceDN/>
              <w:adjustRightInd/>
              <w:spacing w:before="0" w:beforeAutospacing="0" w:after="0" w:line="252" w:lineRule="auto"/>
              <w:textAlignment w:val="auto"/>
              <w:rPr>
                <w:bCs/>
                <w:sz w:val="20"/>
                <w:szCs w:val="20"/>
                <w:lang w:eastAsia="en-US"/>
              </w:rPr>
            </w:pPr>
            <w:r w:rsidRPr="00721CBC">
              <w:rPr>
                <w:bCs/>
                <w:sz w:val="20"/>
                <w:szCs w:val="20"/>
                <w:lang w:eastAsia="en-US"/>
              </w:rPr>
              <w:t>This applies to both TDD and FDD (including FD FDD and HD FDD) cases.</w:t>
            </w:r>
          </w:p>
          <w:p w14:paraId="7817D118" w14:textId="77777777" w:rsidR="00721CBC" w:rsidRPr="00721CBC" w:rsidRDefault="00721CBC" w:rsidP="00721CBC">
            <w:pPr>
              <w:overflowPunct/>
              <w:autoSpaceDE/>
              <w:autoSpaceDN/>
              <w:adjustRightInd/>
              <w:spacing w:before="0" w:beforeAutospacing="0" w:after="0"/>
              <w:textAlignment w:val="auto"/>
              <w:rPr>
                <w:bCs/>
                <w:sz w:val="20"/>
                <w:szCs w:val="20"/>
                <w:highlight w:val="green"/>
                <w:lang w:eastAsia="en-US"/>
              </w:rPr>
            </w:pPr>
            <w:r w:rsidRPr="00721CBC">
              <w:rPr>
                <w:bCs/>
                <w:sz w:val="20"/>
                <w:szCs w:val="20"/>
                <w:highlight w:val="green"/>
                <w:lang w:eastAsia="en-US"/>
              </w:rPr>
              <w:t>Agreement:</w:t>
            </w:r>
          </w:p>
          <w:p w14:paraId="44BD7164" w14:textId="77777777" w:rsidR="00721CBC" w:rsidRPr="00721CBC" w:rsidRDefault="00721CBC" w:rsidP="00721CBC">
            <w:pPr>
              <w:numPr>
                <w:ilvl w:val="0"/>
                <w:numId w:val="37"/>
              </w:numPr>
              <w:overflowPunct/>
              <w:autoSpaceDE/>
              <w:autoSpaceDN/>
              <w:adjustRightInd/>
              <w:spacing w:before="0" w:beforeAutospacing="0" w:after="0" w:line="231" w:lineRule="atLeast"/>
              <w:textAlignment w:val="auto"/>
              <w:rPr>
                <w:rFonts w:eastAsia="Microsoft YaHei UI"/>
                <w:bCs/>
                <w:sz w:val="20"/>
                <w:szCs w:val="20"/>
              </w:rPr>
            </w:pPr>
            <w:r w:rsidRPr="00721CBC">
              <w:rPr>
                <w:bCs/>
                <w:sz w:val="20"/>
                <w:szCs w:val="20"/>
              </w:rPr>
              <w:t>For FR1,</w:t>
            </w:r>
          </w:p>
          <w:p w14:paraId="32B3E3EB"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For a separate initial DL BWP (if it does not include CD-SSB and the entire CORESET#0) from RAN1 perspective,</w:t>
            </w:r>
          </w:p>
          <w:p w14:paraId="3A3B7900" w14:textId="77777777" w:rsidR="00721CBC" w:rsidRPr="00721CBC" w:rsidRDefault="00721CBC" w:rsidP="00721CBC">
            <w:pPr>
              <w:numPr>
                <w:ilvl w:val="2"/>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If it is configured for random access while not for paging in idle/inactive mode, RedCap UE does NOT expect it to contain SSB/CORESET#0/SIB.</w:t>
            </w:r>
          </w:p>
          <w:p w14:paraId="169DCB8C" w14:textId="77777777" w:rsidR="00721CBC" w:rsidRPr="00721CBC" w:rsidRDefault="00721CBC" w:rsidP="00721CBC">
            <w:pPr>
              <w:numPr>
                <w:ilvl w:val="2"/>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Note: RAN1 assumes REDCAP UE performing Random access in the separate DL BWP does not need to monitor paging in a BWP containing CORESET#0</w:t>
            </w:r>
          </w:p>
          <w:p w14:paraId="3E966578" w14:textId="77777777" w:rsidR="00721CBC" w:rsidRPr="00721CBC" w:rsidRDefault="00721CBC" w:rsidP="00721CBC">
            <w:pPr>
              <w:numPr>
                <w:ilvl w:val="2"/>
                <w:numId w:val="37"/>
              </w:numPr>
              <w:overflowPunct/>
              <w:autoSpaceDE/>
              <w:autoSpaceDN/>
              <w:adjustRightInd/>
              <w:spacing w:before="0" w:beforeAutospacing="0" w:after="0" w:line="231" w:lineRule="atLeast"/>
              <w:textAlignment w:val="auto"/>
              <w:rPr>
                <w:bCs/>
                <w:sz w:val="20"/>
                <w:szCs w:val="20"/>
              </w:rPr>
            </w:pPr>
            <w:r w:rsidRPr="00721CBC">
              <w:rPr>
                <w:bCs/>
                <w:sz w:val="20"/>
                <w:szCs w:val="20"/>
                <w:shd w:val="clear" w:color="auto" w:fill="808000"/>
              </w:rPr>
              <w:t>Working assumption:</w:t>
            </w:r>
            <w:r w:rsidRPr="00721CBC">
              <w:rPr>
                <w:bCs/>
                <w:sz w:val="20"/>
                <w:szCs w:val="20"/>
              </w:rPr>
              <w:t> If it is configured for paging, RedCap UE expects it to contain NCD-SSB for serving cell but not CORESET#0/SIB from RAN1 perspective</w:t>
            </w:r>
          </w:p>
          <w:p w14:paraId="2ABF7B7F"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For an RRC-configured active DL BWP in connected mode (if it does not include CD-SSB and the entire CORESET#0) from RAN1 perspective,</w:t>
            </w:r>
          </w:p>
          <w:p w14:paraId="0EF174E2" w14:textId="77777777" w:rsidR="00721CBC" w:rsidRPr="00721CBC" w:rsidRDefault="00721CBC" w:rsidP="00721CBC">
            <w:pPr>
              <w:numPr>
                <w:ilvl w:val="2"/>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A RedCap UE supporting mandatory FG 6-1 (but not optional FG 6-1a) expects it to contain NCD-SSB for serving cell but not CORESET#0/SIB</w:t>
            </w:r>
          </w:p>
          <w:p w14:paraId="601DA8FD" w14:textId="77777777" w:rsidR="00721CBC" w:rsidRPr="00721CBC" w:rsidRDefault="00721CBC" w:rsidP="00721CBC">
            <w:pPr>
              <w:numPr>
                <w:ilvl w:val="2"/>
                <w:numId w:val="37"/>
              </w:numPr>
              <w:overflowPunct/>
              <w:autoSpaceDE/>
              <w:autoSpaceDN/>
              <w:adjustRightInd/>
              <w:spacing w:before="0" w:beforeAutospacing="0" w:after="0" w:line="252" w:lineRule="auto"/>
              <w:textAlignment w:val="auto"/>
              <w:rPr>
                <w:bCs/>
                <w:sz w:val="20"/>
                <w:szCs w:val="20"/>
              </w:rPr>
            </w:pPr>
            <w:r w:rsidRPr="00721CBC">
              <w:rPr>
                <w:bCs/>
                <w:sz w:val="20"/>
                <w:szCs w:val="20"/>
              </w:rPr>
              <w:t>A RedCap UE can indicate the following as optional capability:</w:t>
            </w:r>
          </w:p>
          <w:p w14:paraId="6CE8D629" w14:textId="77777777" w:rsidR="00721CBC" w:rsidRPr="00721CBC" w:rsidRDefault="00721CBC" w:rsidP="00721CBC">
            <w:pPr>
              <w:numPr>
                <w:ilvl w:val="3"/>
                <w:numId w:val="37"/>
              </w:numPr>
              <w:overflowPunct/>
              <w:autoSpaceDE/>
              <w:autoSpaceDN/>
              <w:adjustRightInd/>
              <w:spacing w:before="0" w:beforeAutospacing="0" w:after="0" w:line="231" w:lineRule="atLeast"/>
              <w:textAlignment w:val="auto"/>
              <w:rPr>
                <w:rFonts w:eastAsia="Microsoft YaHei UI"/>
                <w:bCs/>
                <w:sz w:val="20"/>
                <w:szCs w:val="20"/>
              </w:rPr>
            </w:pPr>
            <w:r w:rsidRPr="00721CBC">
              <w:rPr>
                <w:bCs/>
                <w:sz w:val="20"/>
                <w:szCs w:val="20"/>
              </w:rPr>
              <w:t>Not need NCD-SSB: A RedCap UE can in addition optionally support relevant operation based on CSI-RS (</w:t>
            </w:r>
            <w:r w:rsidRPr="00721CBC">
              <w:rPr>
                <w:bCs/>
                <w:sz w:val="20"/>
                <w:szCs w:val="20"/>
                <w:highlight w:val="darkYellow"/>
              </w:rPr>
              <w:t>working assumption</w:t>
            </w:r>
            <w:r w:rsidRPr="00721CBC">
              <w:rPr>
                <w:bCs/>
                <w:sz w:val="20"/>
                <w:szCs w:val="20"/>
              </w:rPr>
              <w:t>) and/or FG 6-1a by reporting optional capabilities.</w:t>
            </w:r>
          </w:p>
          <w:p w14:paraId="3B6CE472"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Note: if a separate initial/RRC configured DL BWP is configured to contain the entire CORESET#0, CD-SSB is expected by RedCap UE.</w:t>
            </w:r>
          </w:p>
          <w:p w14:paraId="5B84C580"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lastRenderedPageBreak/>
              <w:t>Note: The network may choose to configure SSB or MIB-configured CORESET#0 or SIB1 to be within the respective DL BWP.</w:t>
            </w:r>
          </w:p>
          <w:p w14:paraId="0F99A269"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lang w:eastAsia="en-US"/>
              </w:rPr>
              <w:t>Note: If a separate SIB-configured initial DL BWP for RedCap UEs contains the entire CORESET#0, the RedCap UE shall use the bandwidth and location of the CORESET#0 in DL during initial access.</w:t>
            </w:r>
          </w:p>
          <w:p w14:paraId="13F840A2"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Note: NCD-SSB periodicity is not required to be configured the same as that of CD-SSB</w:t>
            </w:r>
          </w:p>
          <w:p w14:paraId="29C01AD6" w14:textId="6BBE5FEC"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Note: Periodicity of NCD-SSB shall be not less than periodicity of CD-SSB</w:t>
            </w:r>
          </w:p>
          <w:p w14:paraId="49D24B60" w14:textId="77777777" w:rsidR="00721CBC" w:rsidRPr="00721CBC" w:rsidRDefault="00721CBC" w:rsidP="00721CBC">
            <w:pPr>
              <w:overflowPunct/>
              <w:autoSpaceDE/>
              <w:autoSpaceDN/>
              <w:adjustRightInd/>
              <w:spacing w:before="0" w:beforeAutospacing="0" w:after="0"/>
              <w:textAlignment w:val="auto"/>
              <w:rPr>
                <w:bCs/>
                <w:sz w:val="20"/>
                <w:szCs w:val="20"/>
                <w:highlight w:val="green"/>
                <w:lang w:eastAsia="en-US"/>
              </w:rPr>
            </w:pPr>
            <w:r w:rsidRPr="00721CBC">
              <w:rPr>
                <w:bCs/>
                <w:sz w:val="20"/>
                <w:szCs w:val="20"/>
                <w:highlight w:val="green"/>
                <w:lang w:eastAsia="en-US"/>
              </w:rPr>
              <w:t>Agreement:</w:t>
            </w:r>
          </w:p>
          <w:p w14:paraId="23A26E3B" w14:textId="77777777" w:rsidR="00721CBC" w:rsidRPr="00721CBC" w:rsidRDefault="00721CBC" w:rsidP="00721CBC">
            <w:pPr>
              <w:numPr>
                <w:ilvl w:val="0"/>
                <w:numId w:val="37"/>
              </w:numPr>
              <w:overflowPunct/>
              <w:autoSpaceDE/>
              <w:autoSpaceDN/>
              <w:adjustRightInd/>
              <w:spacing w:before="0" w:beforeAutospacing="0" w:after="0" w:line="231" w:lineRule="atLeast"/>
              <w:textAlignment w:val="auto"/>
              <w:rPr>
                <w:rFonts w:eastAsia="Microsoft YaHei UI"/>
                <w:bCs/>
                <w:color w:val="0070C0"/>
                <w:sz w:val="20"/>
                <w:szCs w:val="20"/>
              </w:rPr>
            </w:pPr>
            <w:r w:rsidRPr="00721CBC">
              <w:rPr>
                <w:bCs/>
                <w:color w:val="0070C0"/>
                <w:sz w:val="20"/>
                <w:szCs w:val="20"/>
              </w:rPr>
              <w:t>For FR2,</w:t>
            </w:r>
          </w:p>
          <w:p w14:paraId="296B846F"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For a separate initial DL BWP (if it does not include CD-SSB</w:t>
            </w:r>
            <w:r w:rsidRPr="00721CBC">
              <w:rPr>
                <w:bCs/>
                <w:strike/>
                <w:color w:val="0070C0"/>
                <w:sz w:val="20"/>
                <w:szCs w:val="20"/>
              </w:rPr>
              <w:t xml:space="preserve"> and the entire CORESET#0</w:t>
            </w:r>
            <w:r w:rsidRPr="00721CBC">
              <w:rPr>
                <w:bCs/>
                <w:sz w:val="20"/>
                <w:szCs w:val="20"/>
              </w:rPr>
              <w:t>) from RAN1 perspective,</w:t>
            </w:r>
          </w:p>
          <w:p w14:paraId="1CC4563E" w14:textId="77777777" w:rsidR="00721CBC" w:rsidRPr="00721CBC" w:rsidRDefault="00721CBC" w:rsidP="00721CBC">
            <w:pPr>
              <w:numPr>
                <w:ilvl w:val="2"/>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If it is configured for random access while not for paging in idle/inactive mode, RedCap UE does NOT expect it to contain SSB/CORESET#0/SIB.</w:t>
            </w:r>
          </w:p>
          <w:p w14:paraId="332D39AD" w14:textId="77777777" w:rsidR="00721CBC" w:rsidRPr="00721CBC" w:rsidRDefault="00721CBC" w:rsidP="00721CBC">
            <w:pPr>
              <w:numPr>
                <w:ilvl w:val="2"/>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Note: RAN1 assumes REDCAP UE performing Random access in the separate DL BWP does not need to monitor paging in a BWP containing CORESET#0</w:t>
            </w:r>
          </w:p>
          <w:p w14:paraId="690A81AE" w14:textId="77777777" w:rsidR="00721CBC" w:rsidRPr="00721CBC" w:rsidRDefault="00721CBC" w:rsidP="00721CBC">
            <w:pPr>
              <w:numPr>
                <w:ilvl w:val="2"/>
                <w:numId w:val="37"/>
              </w:numPr>
              <w:overflowPunct/>
              <w:autoSpaceDE/>
              <w:autoSpaceDN/>
              <w:adjustRightInd/>
              <w:spacing w:before="0" w:beforeAutospacing="0" w:after="0" w:line="231" w:lineRule="atLeast"/>
              <w:textAlignment w:val="auto"/>
              <w:rPr>
                <w:bCs/>
                <w:sz w:val="20"/>
                <w:szCs w:val="20"/>
              </w:rPr>
            </w:pPr>
            <w:r w:rsidRPr="00721CBC">
              <w:rPr>
                <w:bCs/>
                <w:sz w:val="20"/>
                <w:szCs w:val="20"/>
                <w:shd w:val="clear" w:color="auto" w:fill="808000"/>
              </w:rPr>
              <w:t>Working assumption:</w:t>
            </w:r>
            <w:r w:rsidRPr="00721CBC">
              <w:rPr>
                <w:bCs/>
                <w:sz w:val="20"/>
                <w:szCs w:val="20"/>
              </w:rPr>
              <w:t> If it is configured for paging, RedCap UE expects it to contain NCD-SSB for serving cell but not CORESET#0/SIB from RAN1 perspective</w:t>
            </w:r>
          </w:p>
          <w:p w14:paraId="531DD643"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For an RRC-configured active DL BWP in connected mode (if it does not include CD-SSB</w:t>
            </w:r>
            <w:r w:rsidRPr="00721CBC">
              <w:rPr>
                <w:bCs/>
                <w:strike/>
                <w:color w:val="0070C0"/>
                <w:sz w:val="20"/>
                <w:szCs w:val="20"/>
              </w:rPr>
              <w:t xml:space="preserve"> and the entire CORESET#0</w:t>
            </w:r>
            <w:r w:rsidRPr="00721CBC">
              <w:rPr>
                <w:bCs/>
                <w:sz w:val="20"/>
                <w:szCs w:val="20"/>
              </w:rPr>
              <w:t>) from RAN1 perspective,</w:t>
            </w:r>
          </w:p>
          <w:p w14:paraId="3AB1B151" w14:textId="77777777" w:rsidR="00721CBC" w:rsidRPr="00721CBC" w:rsidRDefault="00721CBC" w:rsidP="00721CBC">
            <w:pPr>
              <w:numPr>
                <w:ilvl w:val="2"/>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A RedCap UE supporting mandatory FG 6-1 (but not optional FG 6-1a) expects it to contain NCD-SSB for serving cell but not CORESET#0/SIB</w:t>
            </w:r>
          </w:p>
          <w:p w14:paraId="4DEC3642" w14:textId="77777777" w:rsidR="00721CBC" w:rsidRPr="00721CBC" w:rsidRDefault="00721CBC" w:rsidP="00721CBC">
            <w:pPr>
              <w:numPr>
                <w:ilvl w:val="2"/>
                <w:numId w:val="37"/>
              </w:numPr>
              <w:overflowPunct/>
              <w:autoSpaceDE/>
              <w:autoSpaceDN/>
              <w:adjustRightInd/>
              <w:spacing w:before="0" w:beforeAutospacing="0" w:after="0" w:line="252" w:lineRule="auto"/>
              <w:textAlignment w:val="auto"/>
              <w:rPr>
                <w:bCs/>
                <w:sz w:val="20"/>
                <w:szCs w:val="20"/>
              </w:rPr>
            </w:pPr>
            <w:r w:rsidRPr="00721CBC">
              <w:rPr>
                <w:bCs/>
                <w:sz w:val="20"/>
                <w:szCs w:val="20"/>
              </w:rPr>
              <w:t>A RedCap UE can indicate the following as optional capability:</w:t>
            </w:r>
          </w:p>
          <w:p w14:paraId="79EA66E7" w14:textId="77777777" w:rsidR="00721CBC" w:rsidRPr="00721CBC" w:rsidRDefault="00721CBC" w:rsidP="00721CBC">
            <w:pPr>
              <w:numPr>
                <w:ilvl w:val="3"/>
                <w:numId w:val="37"/>
              </w:numPr>
              <w:overflowPunct/>
              <w:autoSpaceDE/>
              <w:autoSpaceDN/>
              <w:adjustRightInd/>
              <w:spacing w:before="0" w:beforeAutospacing="0" w:after="0" w:line="231" w:lineRule="atLeast"/>
              <w:textAlignment w:val="auto"/>
              <w:rPr>
                <w:rFonts w:eastAsia="Microsoft YaHei UI"/>
                <w:bCs/>
                <w:sz w:val="20"/>
                <w:szCs w:val="20"/>
              </w:rPr>
            </w:pPr>
            <w:r w:rsidRPr="00721CBC">
              <w:rPr>
                <w:bCs/>
                <w:sz w:val="20"/>
                <w:szCs w:val="20"/>
              </w:rPr>
              <w:t>Not need NCD-SSB: A RedCap UE can in addition optionally support relevant operation based on CSI-RS (</w:t>
            </w:r>
            <w:r w:rsidRPr="00721CBC">
              <w:rPr>
                <w:bCs/>
                <w:sz w:val="20"/>
                <w:szCs w:val="20"/>
                <w:highlight w:val="darkYellow"/>
              </w:rPr>
              <w:t>working assumption</w:t>
            </w:r>
            <w:r w:rsidRPr="00721CBC">
              <w:rPr>
                <w:bCs/>
                <w:sz w:val="20"/>
                <w:szCs w:val="20"/>
              </w:rPr>
              <w:t>) and/or FG 6-1a by reporting optional capabilities.</w:t>
            </w:r>
          </w:p>
          <w:p w14:paraId="307A9F75"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 xml:space="preserve">Note: </w:t>
            </w:r>
            <w:r w:rsidRPr="00721CBC">
              <w:rPr>
                <w:bCs/>
                <w:color w:val="0070C0"/>
                <w:sz w:val="20"/>
                <w:szCs w:val="20"/>
              </w:rPr>
              <w:t xml:space="preserve">For SSB and CORESET#0 multiplexing pattern 1, </w:t>
            </w:r>
            <w:r w:rsidRPr="00721CBC">
              <w:rPr>
                <w:bCs/>
                <w:sz w:val="20"/>
                <w:szCs w:val="20"/>
              </w:rPr>
              <w:t>if a separate initial/RRC configured DL BWP is configured to contain the entire CORESET#0, CD-SSB is expected by RedCap UE.</w:t>
            </w:r>
          </w:p>
          <w:p w14:paraId="6B4428F0"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Note: The network may choose to configure SSB or MIB-configured CORESET#0 or SIB1 to be within the respective DL BWP.</w:t>
            </w:r>
          </w:p>
          <w:p w14:paraId="30E36C6F"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lang w:eastAsia="en-US"/>
              </w:rPr>
              <w:t>Note: If a separate SIB-configured initial DL BWP for RedCap UEs contains the entire CORESET#0, the RedCap UE shall use the bandwidth and location of the CORESET#0 in DL during initial access.</w:t>
            </w:r>
          </w:p>
          <w:p w14:paraId="1FC3B1DF" w14:textId="77777777" w:rsidR="00721CBC" w:rsidRPr="00721CBC" w:rsidRDefault="00721CBC" w:rsidP="00721CBC">
            <w:pPr>
              <w:numPr>
                <w:ilvl w:val="1"/>
                <w:numId w:val="37"/>
              </w:numPr>
              <w:overflowPunct/>
              <w:autoSpaceDE/>
              <w:autoSpaceDN/>
              <w:adjustRightInd/>
              <w:spacing w:before="0" w:beforeAutospacing="0" w:after="0" w:line="231" w:lineRule="atLeast"/>
              <w:textAlignment w:val="auto"/>
              <w:rPr>
                <w:bCs/>
                <w:sz w:val="20"/>
                <w:szCs w:val="20"/>
              </w:rPr>
            </w:pPr>
            <w:r w:rsidRPr="00721CBC">
              <w:rPr>
                <w:bCs/>
                <w:sz w:val="20"/>
                <w:szCs w:val="20"/>
              </w:rPr>
              <w:t>Note: NCD-SSB periodicity is not required to be configured the same as that of CD-SSB</w:t>
            </w:r>
          </w:p>
          <w:p w14:paraId="73BBB572" w14:textId="305C8C84" w:rsidR="00721CBC" w:rsidRPr="00721CBC" w:rsidRDefault="00721CBC" w:rsidP="00721CBC">
            <w:pPr>
              <w:numPr>
                <w:ilvl w:val="1"/>
                <w:numId w:val="37"/>
              </w:numPr>
              <w:overflowPunct/>
              <w:autoSpaceDE/>
              <w:autoSpaceDN/>
              <w:adjustRightInd/>
              <w:spacing w:before="0" w:beforeAutospacing="0" w:after="0" w:line="231" w:lineRule="atLeast"/>
              <w:textAlignment w:val="auto"/>
              <w:rPr>
                <w:bCs/>
              </w:rPr>
            </w:pPr>
            <w:r w:rsidRPr="00721CBC">
              <w:rPr>
                <w:bCs/>
                <w:sz w:val="20"/>
                <w:szCs w:val="20"/>
              </w:rPr>
              <w:t>Note: Periodicity of NCD-SSB shall be not less than periodicity of CD-SSB</w:t>
            </w:r>
          </w:p>
        </w:tc>
      </w:tr>
    </w:tbl>
    <w:p w14:paraId="76A6C409" w14:textId="6459D7BA" w:rsidR="00B0418E" w:rsidRDefault="004F15C9" w:rsidP="00873515">
      <w:pPr>
        <w:jc w:val="both"/>
      </w:pPr>
      <w:r>
        <w:lastRenderedPageBreak/>
        <w:t>In this contribution, we</w:t>
      </w:r>
      <w:r w:rsidR="00662D82">
        <w:t xml:space="preserve"> </w:t>
      </w:r>
      <w:r w:rsidR="00214C3E">
        <w:t xml:space="preserve">further </w:t>
      </w:r>
      <w:r w:rsidR="00026552">
        <w:t>discuss the</w:t>
      </w:r>
      <w:r w:rsidR="00662D82">
        <w:t xml:space="preserve"> </w:t>
      </w:r>
      <w:r w:rsidR="00026552" w:rsidRPr="00026552">
        <w:t xml:space="preserve">capability </w:t>
      </w:r>
      <w:r w:rsidR="00214C3E">
        <w:t>and NCD-SSB design</w:t>
      </w:r>
      <w:r w:rsidR="00026552" w:rsidRPr="00026552">
        <w:t xml:space="preserve"> for RedCap</w:t>
      </w:r>
      <w:r w:rsidR="00214C3E">
        <w:t xml:space="preserve"> RRM</w:t>
      </w:r>
      <w:r>
        <w:t>.</w:t>
      </w:r>
    </w:p>
    <w:p w14:paraId="1AA3252B" w14:textId="3A737F9B" w:rsidR="00B23F53" w:rsidRPr="006E7539" w:rsidRDefault="00026552" w:rsidP="00B23F53">
      <w:pPr>
        <w:pStyle w:val="Heading1"/>
        <w:numPr>
          <w:ilvl w:val="0"/>
          <w:numId w:val="10"/>
        </w:numPr>
        <w:pBdr>
          <w:top w:val="single" w:sz="12" w:space="2" w:color="auto"/>
        </w:pBdr>
        <w:jc w:val="both"/>
        <w:rPr>
          <w:sz w:val="32"/>
        </w:rPr>
      </w:pPr>
      <w:r>
        <w:rPr>
          <w:sz w:val="32"/>
        </w:rPr>
        <w:t>Capability of RedCap UE</w:t>
      </w:r>
    </w:p>
    <w:p w14:paraId="1031B623" w14:textId="4DA43576" w:rsidR="00F111D4" w:rsidRDefault="00026552" w:rsidP="00F111D4">
      <w:pPr>
        <w:tabs>
          <w:tab w:val="left" w:pos="990"/>
        </w:tabs>
        <w:spacing w:after="120" w:line="252" w:lineRule="auto"/>
        <w:jc w:val="both"/>
        <w:rPr>
          <w:snapToGrid w:val="0"/>
        </w:rPr>
      </w:pPr>
      <w:r w:rsidRPr="00026552">
        <w:rPr>
          <w:snapToGrid w:val="0"/>
        </w:rPr>
        <w:t>In previous RAN4 meeting, some agreements related with</w:t>
      </w:r>
      <w:r w:rsidR="00F65254">
        <w:rPr>
          <w:snapToGrid w:val="0"/>
        </w:rPr>
        <w:t xml:space="preserve"> UE capability are summarized as below</w:t>
      </w:r>
      <w:r>
        <w:rPr>
          <w:snapToGrid w:val="0"/>
        </w:rPr>
        <w:t>,</w:t>
      </w:r>
    </w:p>
    <w:tbl>
      <w:tblPr>
        <w:tblStyle w:val="TableGrid"/>
        <w:tblW w:w="0" w:type="auto"/>
        <w:tblLook w:val="04A0" w:firstRow="1" w:lastRow="0" w:firstColumn="1" w:lastColumn="0" w:noHBand="0" w:noVBand="1"/>
      </w:tblPr>
      <w:tblGrid>
        <w:gridCol w:w="9629"/>
      </w:tblGrid>
      <w:tr w:rsidR="00F65254" w14:paraId="1DEF82C6" w14:textId="77777777" w:rsidTr="00F65254">
        <w:tc>
          <w:tcPr>
            <w:tcW w:w="9629" w:type="dxa"/>
          </w:tcPr>
          <w:p w14:paraId="4AB71D4F" w14:textId="2B3D288A" w:rsidR="00F65254" w:rsidRDefault="00F65254" w:rsidP="00F65254">
            <w:pPr>
              <w:pStyle w:val="Heading2"/>
              <w:spacing w:before="0" w:after="0"/>
              <w:ind w:left="0" w:firstLine="0"/>
              <w:outlineLvl w:val="1"/>
              <w:rPr>
                <w:sz w:val="20"/>
                <w:lang w:val="en-US"/>
              </w:rPr>
            </w:pPr>
            <w:r>
              <w:rPr>
                <w:sz w:val="20"/>
                <w:lang w:val="en-US"/>
              </w:rPr>
              <w:lastRenderedPageBreak/>
              <w:t>RAN4#99e</w:t>
            </w:r>
          </w:p>
          <w:p w14:paraId="644911FE" w14:textId="5C7B26C9" w:rsidR="00F65254" w:rsidRPr="00F65254" w:rsidRDefault="00F65254" w:rsidP="00F65254">
            <w:pPr>
              <w:numPr>
                <w:ilvl w:val="0"/>
                <w:numId w:val="32"/>
              </w:numPr>
              <w:rPr>
                <w:lang w:eastAsia="x-none"/>
              </w:rPr>
            </w:pPr>
            <w:r w:rsidRPr="00F65254">
              <w:rPr>
                <w:lang w:eastAsia="x-none"/>
              </w:rPr>
              <w:t xml:space="preserve">RedCap requirements are developed with NR release 15 RRM requirements as baseline. Which release 16 features to be considered for RedCap are discussed in </w:t>
            </w:r>
            <w:proofErr w:type="gramStart"/>
            <w:r w:rsidRPr="00F65254">
              <w:rPr>
                <w:lang w:eastAsia="x-none"/>
              </w:rPr>
              <w:t>case by case</w:t>
            </w:r>
            <w:proofErr w:type="gramEnd"/>
            <w:r w:rsidRPr="00F65254">
              <w:rPr>
                <w:lang w:eastAsia="x-none"/>
              </w:rPr>
              <w:t xml:space="preserve"> manner after sufficient progress is made in the WI.</w:t>
            </w:r>
          </w:p>
          <w:p w14:paraId="1C483F36" w14:textId="77777777" w:rsidR="00F65254" w:rsidRDefault="00F65254" w:rsidP="00F65254">
            <w:pPr>
              <w:pStyle w:val="Heading2"/>
              <w:spacing w:before="0" w:after="0"/>
              <w:ind w:left="0" w:firstLine="0"/>
              <w:outlineLvl w:val="1"/>
              <w:rPr>
                <w:sz w:val="20"/>
                <w:lang w:val="en-US"/>
              </w:rPr>
            </w:pPr>
          </w:p>
          <w:p w14:paraId="55969466" w14:textId="6DEC460C" w:rsidR="00F65254" w:rsidRDefault="00F65254" w:rsidP="00F65254">
            <w:pPr>
              <w:pStyle w:val="Heading2"/>
              <w:spacing w:before="0" w:after="0"/>
              <w:ind w:left="0" w:firstLine="0"/>
              <w:outlineLvl w:val="1"/>
              <w:rPr>
                <w:sz w:val="20"/>
                <w:lang w:val="en-US"/>
              </w:rPr>
            </w:pPr>
            <w:r>
              <w:rPr>
                <w:sz w:val="20"/>
                <w:lang w:val="en-US"/>
              </w:rPr>
              <w:t>RAN4#100e</w:t>
            </w:r>
          </w:p>
          <w:p w14:paraId="0878A71F" w14:textId="663D37E7" w:rsidR="00F65254" w:rsidRPr="00F65254" w:rsidRDefault="00F65254" w:rsidP="00F65254">
            <w:pPr>
              <w:pStyle w:val="Heading2"/>
              <w:spacing w:before="0" w:after="0"/>
              <w:ind w:left="0" w:firstLine="0"/>
              <w:outlineLvl w:val="1"/>
              <w:rPr>
                <w:sz w:val="20"/>
                <w:lang w:val="en-US"/>
              </w:rPr>
            </w:pPr>
            <w:r w:rsidRPr="00F65254">
              <w:rPr>
                <w:sz w:val="20"/>
                <w:lang w:val="en-US"/>
              </w:rPr>
              <w:t>Inter-frequency support</w:t>
            </w:r>
          </w:p>
          <w:p w14:paraId="17B004CA"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bCs/>
                <w:color w:val="0070C0"/>
                <w:sz w:val="20"/>
                <w:szCs w:val="20"/>
              </w:rPr>
            </w:pPr>
            <w:r w:rsidRPr="00F65254">
              <w:rPr>
                <w:color w:val="0070C0"/>
                <w:sz w:val="20"/>
                <w:szCs w:val="20"/>
                <w:lang w:eastAsia="zh-CN"/>
              </w:rPr>
              <w:t>RAN4 to develop intra-frequency and inter-frequency requirements for release 17 RedCap with equal priority.</w:t>
            </w:r>
          </w:p>
          <w:p w14:paraId="56B47985"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Inter-RAT 2G/3G in IDLE/INACTIVE and CONNECTED states</w:t>
            </w:r>
          </w:p>
          <w:p w14:paraId="64A6CFBC"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70C0"/>
                <w:sz w:val="20"/>
                <w:szCs w:val="20"/>
                <w:lang w:eastAsia="zh-CN"/>
              </w:rPr>
            </w:pPr>
            <w:r w:rsidRPr="00F65254">
              <w:rPr>
                <w:color w:val="0070C0"/>
                <w:sz w:val="20"/>
                <w:szCs w:val="20"/>
                <w:lang w:eastAsia="zh-CN"/>
              </w:rPr>
              <w:t>Do not define inter-RAT RRM requirements on 2G/3G for RedCap UE in Rel-17</w:t>
            </w:r>
          </w:p>
          <w:p w14:paraId="6E7C5921" w14:textId="77777777" w:rsidR="00F65254" w:rsidRPr="00F65254" w:rsidRDefault="00F65254" w:rsidP="00F65254">
            <w:pPr>
              <w:spacing w:before="0" w:beforeAutospacing="0" w:after="0"/>
              <w:rPr>
                <w:sz w:val="20"/>
                <w:szCs w:val="20"/>
              </w:rPr>
            </w:pPr>
          </w:p>
          <w:p w14:paraId="33742E2A"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Inter-RAT LTE in IDLE/INACTIVE and CONNECTED states</w:t>
            </w:r>
          </w:p>
          <w:p w14:paraId="0B1BDFBF"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Define inter-RAT LTE RRM requirements in IDLE/INACTIVE and CONNECTED states</w:t>
            </w:r>
          </w:p>
          <w:p w14:paraId="476357BC" w14:textId="77777777" w:rsidR="00F65254" w:rsidRPr="00F65254" w:rsidRDefault="00F65254" w:rsidP="00F65254">
            <w:pPr>
              <w:pStyle w:val="ListParagraph"/>
              <w:widowControl/>
              <w:numPr>
                <w:ilvl w:val="2"/>
                <w:numId w:val="22"/>
              </w:numPr>
              <w:autoSpaceDE/>
              <w:autoSpaceDN/>
              <w:adjustRightInd/>
              <w:spacing w:before="0" w:beforeAutospacing="0" w:line="240" w:lineRule="auto"/>
              <w:ind w:firstLineChars="0"/>
              <w:rPr>
                <w:color w:val="00B050"/>
                <w:sz w:val="20"/>
                <w:szCs w:val="20"/>
                <w:lang w:eastAsia="ja-JP"/>
              </w:rPr>
            </w:pPr>
            <w:r w:rsidRPr="00F65254">
              <w:rPr>
                <w:color w:val="00B050"/>
                <w:sz w:val="20"/>
                <w:szCs w:val="20"/>
                <w:lang w:eastAsia="ja-JP"/>
              </w:rPr>
              <w:t>For 2RX capable RedCap UEs</w:t>
            </w:r>
          </w:p>
          <w:p w14:paraId="4929ADB9"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Use 2RX inter-RAT LTE requirements defined in TS 38.133 as baseline</w:t>
            </w:r>
          </w:p>
          <w:p w14:paraId="5EFA77A9" w14:textId="77777777" w:rsidR="00F65254" w:rsidRPr="00F65254" w:rsidRDefault="00F65254" w:rsidP="00F65254">
            <w:pPr>
              <w:pStyle w:val="ListParagraph"/>
              <w:widowControl/>
              <w:numPr>
                <w:ilvl w:val="2"/>
                <w:numId w:val="22"/>
              </w:numPr>
              <w:autoSpaceDE/>
              <w:autoSpaceDN/>
              <w:adjustRightInd/>
              <w:spacing w:before="0" w:beforeAutospacing="0" w:line="240" w:lineRule="auto"/>
              <w:ind w:firstLineChars="0"/>
              <w:rPr>
                <w:color w:val="00B050"/>
                <w:sz w:val="20"/>
                <w:szCs w:val="20"/>
                <w:lang w:eastAsia="ja-JP"/>
              </w:rPr>
            </w:pPr>
            <w:r w:rsidRPr="00F65254">
              <w:rPr>
                <w:color w:val="00B050"/>
                <w:sz w:val="20"/>
                <w:szCs w:val="20"/>
                <w:lang w:eastAsia="ja-JP"/>
              </w:rPr>
              <w:t>For 1RX capable RedCap UEs</w:t>
            </w:r>
          </w:p>
          <w:p w14:paraId="49CD65FC"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Use LTE Cat1bis requirements in TS 36.133 as baseline</w:t>
            </w:r>
          </w:p>
          <w:p w14:paraId="67CE5B59"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FFS whether and how to define inter-RAT NR RRM requirements for LTE UEs with RedCap capabilities in IDLE/INACTIVE and CONNECTED states</w:t>
            </w:r>
          </w:p>
          <w:p w14:paraId="72934743" w14:textId="77777777" w:rsidR="00F65254" w:rsidRPr="00F65254" w:rsidRDefault="00F65254" w:rsidP="00F65254">
            <w:pPr>
              <w:tabs>
                <w:tab w:val="left" w:pos="602"/>
              </w:tabs>
              <w:spacing w:before="0" w:beforeAutospacing="0" w:after="0"/>
              <w:jc w:val="both"/>
              <w:rPr>
                <w:sz w:val="20"/>
                <w:szCs w:val="20"/>
                <w:highlight w:val="green"/>
              </w:rPr>
            </w:pPr>
          </w:p>
          <w:p w14:paraId="1721BEB1"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SUL support</w:t>
            </w:r>
          </w:p>
          <w:p w14:paraId="049D4EC4"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70C0"/>
                <w:sz w:val="20"/>
                <w:szCs w:val="20"/>
                <w:lang w:eastAsia="ja-JP"/>
              </w:rPr>
            </w:pPr>
            <w:r w:rsidRPr="00F65254">
              <w:rPr>
                <w:color w:val="0070C0"/>
                <w:sz w:val="20"/>
                <w:szCs w:val="20"/>
              </w:rPr>
              <w:t>Whether to support SUL for RedCap in RRM depends on RF agreement.</w:t>
            </w:r>
          </w:p>
          <w:p w14:paraId="21E36D1A" w14:textId="77777777" w:rsidR="00F65254" w:rsidRPr="00F65254" w:rsidRDefault="00F65254" w:rsidP="00F65254">
            <w:pPr>
              <w:spacing w:before="0" w:beforeAutospacing="0" w:after="0"/>
              <w:rPr>
                <w:sz w:val="20"/>
                <w:szCs w:val="20"/>
                <w:highlight w:val="green"/>
                <w:lang w:eastAsia="ja-JP"/>
              </w:rPr>
            </w:pPr>
          </w:p>
          <w:p w14:paraId="2CDD4541"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Consideration of LTE cat-M1 or NB-IoT for RedCap in TS 36.133</w:t>
            </w:r>
          </w:p>
          <w:p w14:paraId="3FB69B0A"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rFonts w:eastAsiaTheme="minorEastAsia"/>
                <w:color w:val="ED7D31" w:themeColor="accent2"/>
                <w:sz w:val="20"/>
                <w:szCs w:val="20"/>
                <w:lang w:val="en-US"/>
              </w:rPr>
            </w:pPr>
            <w:r w:rsidRPr="00F65254">
              <w:rPr>
                <w:rFonts w:eastAsiaTheme="minorEastAsia" w:hint="eastAsia"/>
                <w:color w:val="ED7D31" w:themeColor="accent2"/>
                <w:sz w:val="20"/>
                <w:szCs w:val="20"/>
                <w:lang w:val="en-US"/>
              </w:rPr>
              <w:t xml:space="preserve">No need to consider </w:t>
            </w:r>
            <w:r w:rsidRPr="00F65254">
              <w:rPr>
                <w:rFonts w:eastAsiaTheme="minorEastAsia"/>
                <w:color w:val="ED7D31" w:themeColor="accent2"/>
                <w:sz w:val="20"/>
                <w:szCs w:val="20"/>
                <w:lang w:val="en-US"/>
              </w:rPr>
              <w:t>LTE cat-M1 or NB-IoT for RedCap in TS 36.133</w:t>
            </w:r>
          </w:p>
          <w:p w14:paraId="5B66B2F6"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V2X requirements for Rel-17 RedCap</w:t>
            </w:r>
          </w:p>
          <w:p w14:paraId="0DEC6987"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B050"/>
                <w:sz w:val="20"/>
                <w:szCs w:val="20"/>
              </w:rPr>
            </w:pPr>
            <w:r w:rsidRPr="00F65254">
              <w:rPr>
                <w:color w:val="0070C0"/>
                <w:sz w:val="20"/>
                <w:szCs w:val="20"/>
              </w:rPr>
              <w:t>V2X is not within the scope of RedCap WID. Thus no more discussions are needed on this topic.</w:t>
            </w:r>
          </w:p>
          <w:p w14:paraId="41991192" w14:textId="77777777" w:rsidR="00F65254" w:rsidRPr="00F65254" w:rsidRDefault="00F65254" w:rsidP="00F65254">
            <w:pPr>
              <w:spacing w:before="0" w:beforeAutospacing="0" w:after="0"/>
              <w:ind w:left="720"/>
              <w:rPr>
                <w:sz w:val="20"/>
                <w:szCs w:val="20"/>
                <w:highlight w:val="green"/>
                <w:lang w:eastAsia="ja-JP"/>
              </w:rPr>
            </w:pPr>
          </w:p>
          <w:p w14:paraId="2843EA5A"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Combination of features</w:t>
            </w:r>
          </w:p>
          <w:p w14:paraId="50825024"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70C0"/>
                <w:sz w:val="20"/>
                <w:szCs w:val="20"/>
              </w:rPr>
            </w:pPr>
            <w:r w:rsidRPr="00F65254">
              <w:rPr>
                <w:color w:val="0070C0"/>
                <w:sz w:val="20"/>
                <w:szCs w:val="20"/>
              </w:rPr>
              <w:t xml:space="preserve">When discussing possible combinations of Rel-16 features and RedCap, we should by default assume that the features are not applicable and then identify which features (such as R16 CSI-RS based L3 measurement, L1-SINR measurement, SFTD measurement, CGI reading, </w:t>
            </w:r>
            <w:r w:rsidRPr="00F65254">
              <w:rPr>
                <w:rFonts w:hint="eastAsia"/>
                <w:color w:val="0070C0"/>
                <w:sz w:val="20"/>
                <w:szCs w:val="20"/>
                <w:lang w:val="en-US" w:eastAsia="zh-CN"/>
              </w:rPr>
              <w:t xml:space="preserve">2-step RACH, </w:t>
            </w:r>
            <w:r w:rsidRPr="00F65254">
              <w:rPr>
                <w:color w:val="0070C0"/>
                <w:sz w:val="20"/>
                <w:szCs w:val="20"/>
              </w:rPr>
              <w:t>and PL-RS change, etc.) can be combined with RedCap case by case based on justification.</w:t>
            </w:r>
          </w:p>
          <w:p w14:paraId="32495FED" w14:textId="77777777" w:rsidR="00F65254" w:rsidRPr="00F65254" w:rsidRDefault="00F65254" w:rsidP="00F65254">
            <w:pPr>
              <w:pStyle w:val="ListParagraph"/>
              <w:autoSpaceDE/>
              <w:autoSpaceDN/>
              <w:adjustRightInd/>
              <w:spacing w:before="0" w:beforeAutospacing="0" w:line="240" w:lineRule="auto"/>
              <w:ind w:left="1080" w:firstLineChars="0" w:firstLine="0"/>
              <w:rPr>
                <w:sz w:val="20"/>
                <w:szCs w:val="20"/>
                <w:highlight w:val="green"/>
              </w:rPr>
            </w:pPr>
          </w:p>
          <w:p w14:paraId="43F1E1B0"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Assumptions on UE for defining RRM requirements</w:t>
            </w:r>
          </w:p>
          <w:p w14:paraId="316BE791"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B050"/>
                <w:sz w:val="20"/>
                <w:szCs w:val="20"/>
                <w:lang w:eastAsia="ja-JP"/>
              </w:rPr>
            </w:pPr>
            <w:r w:rsidRPr="00F65254">
              <w:rPr>
                <w:color w:val="00B050"/>
                <w:sz w:val="20"/>
                <w:szCs w:val="20"/>
                <w:lang w:eastAsia="ja-JP"/>
              </w:rPr>
              <w:t>Define separate set of requirements for 1RX and 2RX capable RedCap UEs</w:t>
            </w:r>
          </w:p>
          <w:p w14:paraId="139F7C39" w14:textId="77777777" w:rsidR="00F65254" w:rsidRPr="00F65254" w:rsidRDefault="00F65254" w:rsidP="00F65254">
            <w:pPr>
              <w:pStyle w:val="ListParagraph"/>
              <w:widowControl/>
              <w:numPr>
                <w:ilvl w:val="2"/>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For RedCap UEs using 2 RX branches</w:t>
            </w:r>
          </w:p>
          <w:p w14:paraId="686D4250"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Use Release 15 NR UE measurement requirements for single carrier operation as baseline</w:t>
            </w:r>
          </w:p>
          <w:p w14:paraId="4295EC53"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bCs/>
                <w:color w:val="00B050"/>
                <w:sz w:val="20"/>
                <w:szCs w:val="20"/>
              </w:rPr>
            </w:pPr>
            <w:r w:rsidRPr="00F65254">
              <w:rPr>
                <w:bCs/>
                <w:color w:val="00B050"/>
                <w:sz w:val="20"/>
                <w:szCs w:val="20"/>
              </w:rPr>
              <w:t>Single searcher is assumed</w:t>
            </w:r>
          </w:p>
          <w:p w14:paraId="0C981043" w14:textId="77777777" w:rsidR="00F65254" w:rsidRPr="00F65254" w:rsidRDefault="00F65254" w:rsidP="00F65254">
            <w:pPr>
              <w:pStyle w:val="ListParagraph"/>
              <w:widowControl/>
              <w:numPr>
                <w:ilvl w:val="2"/>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For RedCap UE using 1 RX branches</w:t>
            </w:r>
          </w:p>
          <w:p w14:paraId="40B4813A"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Define a new set of RRM requirements for single carrier operation</w:t>
            </w:r>
          </w:p>
          <w:p w14:paraId="67CE7252"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bCs/>
                <w:color w:val="00B050"/>
                <w:sz w:val="20"/>
                <w:szCs w:val="20"/>
              </w:rPr>
            </w:pPr>
            <w:r w:rsidRPr="00F65254">
              <w:rPr>
                <w:bCs/>
                <w:color w:val="00B050"/>
                <w:sz w:val="20"/>
                <w:szCs w:val="20"/>
              </w:rPr>
              <w:t>Single searcher is assumed</w:t>
            </w:r>
          </w:p>
          <w:p w14:paraId="2DC5F25C" w14:textId="37F8FE36" w:rsidR="00F65254" w:rsidRPr="00F65254" w:rsidRDefault="00F65254" w:rsidP="00F65254">
            <w:pPr>
              <w:pStyle w:val="ListParagraph"/>
              <w:widowControl/>
              <w:numPr>
                <w:ilvl w:val="2"/>
                <w:numId w:val="22"/>
              </w:numPr>
              <w:autoSpaceDE/>
              <w:autoSpaceDN/>
              <w:adjustRightInd/>
              <w:spacing w:before="0" w:beforeAutospacing="0" w:line="240" w:lineRule="auto"/>
              <w:ind w:firstLineChars="0"/>
              <w:rPr>
                <w:color w:val="00B050"/>
                <w:lang w:eastAsia="ja-JP"/>
              </w:rPr>
            </w:pPr>
            <w:r w:rsidRPr="00F65254">
              <w:rPr>
                <w:bCs/>
                <w:color w:val="00B050"/>
                <w:sz w:val="20"/>
                <w:szCs w:val="20"/>
              </w:rPr>
              <w:t>Note: the changes related to reduced BW and HD-FDD shall be further discussed</w:t>
            </w:r>
          </w:p>
        </w:tc>
      </w:tr>
    </w:tbl>
    <w:p w14:paraId="2FA3C8BC" w14:textId="6C5099B0" w:rsidR="00F65254" w:rsidRDefault="00F65254" w:rsidP="00F111D4">
      <w:pPr>
        <w:tabs>
          <w:tab w:val="left" w:pos="990"/>
        </w:tabs>
        <w:spacing w:after="120" w:line="252" w:lineRule="auto"/>
        <w:jc w:val="both"/>
        <w:rPr>
          <w:snapToGrid w:val="0"/>
        </w:rPr>
      </w:pPr>
      <w:r>
        <w:rPr>
          <w:snapToGrid w:val="0"/>
        </w:rPr>
        <w:t xml:space="preserve"> And in RAN plenary #93e meeting, it was en</w:t>
      </w:r>
      <w:r w:rsidR="00E860BA">
        <w:rPr>
          <w:snapToGrid w:val="0"/>
        </w:rPr>
        <w:t xml:space="preserve">dorsed in </w:t>
      </w:r>
      <w:r w:rsidR="00E860BA" w:rsidRPr="00E860BA">
        <w:rPr>
          <w:snapToGrid w:val="0"/>
        </w:rPr>
        <w:t>RP-212634</w:t>
      </w:r>
      <w:r w:rsidR="00E860BA">
        <w:rPr>
          <w:snapToGrid w:val="0"/>
        </w:rPr>
        <w:t xml:space="preserve"> </w:t>
      </w:r>
      <w:r>
        <w:rPr>
          <w:snapToGrid w:val="0"/>
        </w:rPr>
        <w:t>that,</w:t>
      </w:r>
    </w:p>
    <w:tbl>
      <w:tblPr>
        <w:tblStyle w:val="TableGrid"/>
        <w:tblW w:w="0" w:type="auto"/>
        <w:tblLook w:val="04A0" w:firstRow="1" w:lastRow="0" w:firstColumn="1" w:lastColumn="0" w:noHBand="0" w:noVBand="1"/>
      </w:tblPr>
      <w:tblGrid>
        <w:gridCol w:w="9629"/>
      </w:tblGrid>
      <w:tr w:rsidR="00E860BA" w14:paraId="1DCD2DFE" w14:textId="77777777" w:rsidTr="00E860BA">
        <w:tc>
          <w:tcPr>
            <w:tcW w:w="9629" w:type="dxa"/>
          </w:tcPr>
          <w:p w14:paraId="2ADAB49B" w14:textId="77777777" w:rsidR="00E860BA" w:rsidRPr="00E860BA" w:rsidRDefault="00E860BA" w:rsidP="00E860BA">
            <w:pPr>
              <w:numPr>
                <w:ilvl w:val="0"/>
                <w:numId w:val="33"/>
              </w:numPr>
              <w:tabs>
                <w:tab w:val="left" w:pos="990"/>
              </w:tabs>
              <w:spacing w:after="0"/>
              <w:jc w:val="both"/>
              <w:rPr>
                <w:snapToGrid w:val="0"/>
              </w:rPr>
            </w:pPr>
            <w:r w:rsidRPr="00E860BA">
              <w:rPr>
                <w:snapToGrid w:val="0"/>
              </w:rPr>
              <w:t>In Rel-17, there will be no work on any RedCap specific specification update for any of the following:</w:t>
            </w:r>
          </w:p>
          <w:p w14:paraId="234F6E56" w14:textId="77777777" w:rsidR="00E860BA" w:rsidRPr="00E860BA" w:rsidRDefault="00E860BA" w:rsidP="00E860BA">
            <w:pPr>
              <w:numPr>
                <w:ilvl w:val="1"/>
                <w:numId w:val="33"/>
              </w:numPr>
              <w:tabs>
                <w:tab w:val="left" w:pos="990"/>
              </w:tabs>
              <w:spacing w:after="0"/>
              <w:jc w:val="both"/>
              <w:rPr>
                <w:snapToGrid w:val="0"/>
              </w:rPr>
            </w:pPr>
            <w:r w:rsidRPr="00E860BA">
              <w:rPr>
                <w:snapToGrid w:val="0"/>
              </w:rPr>
              <w:t>RedCap UEs also supporting V2X/PC5 on n47</w:t>
            </w:r>
          </w:p>
          <w:p w14:paraId="39488C6B" w14:textId="77777777" w:rsidR="00E860BA" w:rsidRPr="00E860BA" w:rsidRDefault="00E860BA" w:rsidP="00E860BA">
            <w:pPr>
              <w:numPr>
                <w:ilvl w:val="1"/>
                <w:numId w:val="33"/>
              </w:numPr>
              <w:tabs>
                <w:tab w:val="left" w:pos="990"/>
              </w:tabs>
              <w:spacing w:after="0"/>
              <w:jc w:val="both"/>
              <w:rPr>
                <w:snapToGrid w:val="0"/>
              </w:rPr>
            </w:pPr>
            <w:r w:rsidRPr="00E860BA">
              <w:rPr>
                <w:snapToGrid w:val="0"/>
              </w:rPr>
              <w:t>RedCap UEs operating in unlicensed bands</w:t>
            </w:r>
          </w:p>
          <w:p w14:paraId="2F3FC109" w14:textId="77777777" w:rsidR="00E860BA" w:rsidRPr="00E860BA" w:rsidRDefault="00E860BA" w:rsidP="00E860BA">
            <w:pPr>
              <w:numPr>
                <w:ilvl w:val="1"/>
                <w:numId w:val="33"/>
              </w:numPr>
              <w:tabs>
                <w:tab w:val="left" w:pos="990"/>
              </w:tabs>
              <w:spacing w:after="0"/>
              <w:jc w:val="both"/>
              <w:rPr>
                <w:snapToGrid w:val="0"/>
              </w:rPr>
            </w:pPr>
            <w:r w:rsidRPr="00E860BA">
              <w:rPr>
                <w:snapToGrid w:val="0"/>
              </w:rPr>
              <w:t xml:space="preserve">RedCap UEs supporting SUL </w:t>
            </w:r>
          </w:p>
          <w:p w14:paraId="3BDD39C8" w14:textId="77777777" w:rsidR="00E860BA" w:rsidRPr="00E860BA" w:rsidRDefault="00E860BA" w:rsidP="00E860BA">
            <w:pPr>
              <w:numPr>
                <w:ilvl w:val="0"/>
                <w:numId w:val="33"/>
              </w:numPr>
              <w:tabs>
                <w:tab w:val="left" w:pos="990"/>
              </w:tabs>
              <w:spacing w:after="0"/>
              <w:jc w:val="both"/>
              <w:rPr>
                <w:snapToGrid w:val="0"/>
              </w:rPr>
            </w:pPr>
            <w:r w:rsidRPr="00E860BA">
              <w:rPr>
                <w:snapToGrid w:val="0"/>
              </w:rPr>
              <w:t>The specification will not contain any explicit restriction to prevent implementation of RedCap UEs with these features.</w:t>
            </w:r>
          </w:p>
          <w:p w14:paraId="30FE7A62" w14:textId="77777777" w:rsidR="00E860BA" w:rsidRPr="00E860BA" w:rsidRDefault="00E860BA" w:rsidP="00E860BA">
            <w:pPr>
              <w:numPr>
                <w:ilvl w:val="0"/>
                <w:numId w:val="33"/>
              </w:numPr>
              <w:tabs>
                <w:tab w:val="left" w:pos="990"/>
              </w:tabs>
              <w:spacing w:after="0"/>
              <w:jc w:val="both"/>
              <w:rPr>
                <w:snapToGrid w:val="0"/>
              </w:rPr>
            </w:pPr>
            <w:r w:rsidRPr="00E860BA">
              <w:rPr>
                <w:snapToGrid w:val="0"/>
              </w:rPr>
              <w:t>Note: The consequence of this agreement would be:</w:t>
            </w:r>
          </w:p>
          <w:p w14:paraId="6F36A10C" w14:textId="17F57B40" w:rsidR="00E860BA" w:rsidRPr="00E860BA" w:rsidRDefault="00E860BA" w:rsidP="00E860BA">
            <w:pPr>
              <w:numPr>
                <w:ilvl w:val="1"/>
                <w:numId w:val="33"/>
              </w:numPr>
              <w:tabs>
                <w:tab w:val="left" w:pos="990"/>
              </w:tabs>
              <w:spacing w:after="0"/>
              <w:jc w:val="both"/>
              <w:rPr>
                <w:snapToGrid w:val="0"/>
              </w:rPr>
            </w:pPr>
            <w:r w:rsidRPr="00E860BA">
              <w:rPr>
                <w:snapToGrid w:val="0"/>
              </w:rPr>
              <w:lastRenderedPageBreak/>
              <w:t xml:space="preserve">If any spec change/addition is found necessary in order to enable one of the options </w:t>
            </w:r>
            <w:proofErr w:type="gramStart"/>
            <w:r w:rsidRPr="00E860BA">
              <w:rPr>
                <w:snapToGrid w:val="0"/>
              </w:rPr>
              <w:t>above</w:t>
            </w:r>
            <w:proofErr w:type="gramEnd"/>
            <w:r w:rsidRPr="00E860BA">
              <w:rPr>
                <w:snapToGrid w:val="0"/>
              </w:rPr>
              <w:t xml:space="preserve"> then it will not happen in Rel-17.</w:t>
            </w:r>
          </w:p>
        </w:tc>
      </w:tr>
    </w:tbl>
    <w:p w14:paraId="0F5B43C5" w14:textId="4F900F4A" w:rsidR="00483E32" w:rsidRDefault="00E860BA" w:rsidP="00197074">
      <w:pPr>
        <w:tabs>
          <w:tab w:val="left" w:pos="990"/>
        </w:tabs>
        <w:jc w:val="both"/>
      </w:pPr>
      <w:r>
        <w:lastRenderedPageBreak/>
        <w:t>Following the philosophy in RANP meeting, from RAN4 perspective, we may not need to directly preclude any UE capability for RedCap UE</w:t>
      </w:r>
      <w:r w:rsidR="00483E32" w:rsidRPr="00483E32">
        <w:t xml:space="preserve"> </w:t>
      </w:r>
      <w:r w:rsidR="00483E32">
        <w:t>except those CA or DC based features</w:t>
      </w:r>
      <w:r>
        <w:t xml:space="preserve">, but we could clarify that we would not define any requirement for such features. </w:t>
      </w:r>
    </w:p>
    <w:p w14:paraId="64A772A1" w14:textId="45CD1574" w:rsidR="000958F3" w:rsidRDefault="000958F3" w:rsidP="00197074">
      <w:pPr>
        <w:tabs>
          <w:tab w:val="left" w:pos="990"/>
        </w:tabs>
        <w:jc w:val="both"/>
      </w:pPr>
      <w:r>
        <w:t>In Last RAN4 #101e meeting, it was agreed in [1] that,</w:t>
      </w:r>
    </w:p>
    <w:tbl>
      <w:tblPr>
        <w:tblStyle w:val="TableGrid"/>
        <w:tblW w:w="0" w:type="auto"/>
        <w:tblLook w:val="04A0" w:firstRow="1" w:lastRow="0" w:firstColumn="1" w:lastColumn="0" w:noHBand="0" w:noVBand="1"/>
      </w:tblPr>
      <w:tblGrid>
        <w:gridCol w:w="9629"/>
      </w:tblGrid>
      <w:tr w:rsidR="000958F3" w14:paraId="563A3C19" w14:textId="77777777" w:rsidTr="000958F3">
        <w:tc>
          <w:tcPr>
            <w:tcW w:w="9629" w:type="dxa"/>
          </w:tcPr>
          <w:p w14:paraId="13207A94" w14:textId="77777777" w:rsidR="000958F3" w:rsidRPr="000958F3" w:rsidRDefault="000958F3" w:rsidP="000958F3">
            <w:pPr>
              <w:spacing w:before="0" w:beforeAutospacing="0" w:after="0"/>
              <w:rPr>
                <w:bCs/>
                <w:sz w:val="20"/>
                <w:szCs w:val="20"/>
              </w:rPr>
            </w:pPr>
            <w:r w:rsidRPr="000958F3">
              <w:rPr>
                <w:bCs/>
                <w:sz w:val="20"/>
                <w:szCs w:val="20"/>
                <w:u w:val="single"/>
              </w:rPr>
              <w:t xml:space="preserve">The below WF is related to </w:t>
            </w:r>
            <w:proofErr w:type="gramStart"/>
            <w:r w:rsidRPr="000958F3">
              <w:rPr>
                <w:bCs/>
                <w:sz w:val="20"/>
                <w:szCs w:val="20"/>
                <w:u w:val="single"/>
              </w:rPr>
              <w:t>reply</w:t>
            </w:r>
            <w:proofErr w:type="gramEnd"/>
            <w:r w:rsidRPr="000958F3">
              <w:rPr>
                <w:bCs/>
                <w:sz w:val="20"/>
                <w:szCs w:val="20"/>
                <w:u w:val="single"/>
              </w:rPr>
              <w:t xml:space="preserve"> LS on UE capability assumptions (RAN2 LS R2-2109218)</w:t>
            </w:r>
          </w:p>
          <w:p w14:paraId="600B3E08" w14:textId="77777777" w:rsidR="000958F3" w:rsidRPr="000958F3" w:rsidRDefault="000958F3" w:rsidP="000958F3">
            <w:pPr>
              <w:spacing w:before="0" w:beforeAutospacing="0" w:after="0"/>
              <w:rPr>
                <w:bCs/>
                <w:sz w:val="20"/>
                <w:szCs w:val="20"/>
              </w:rPr>
            </w:pPr>
            <w:r w:rsidRPr="000958F3">
              <w:rPr>
                <w:bCs/>
                <w:sz w:val="20"/>
                <w:szCs w:val="20"/>
              </w:rPr>
              <w:t>For the UE capability assumption, RAN4 has the following agreement:</w:t>
            </w:r>
          </w:p>
          <w:p w14:paraId="7C521ECE" w14:textId="00F6705C" w:rsidR="000958F3" w:rsidRPr="000958F3" w:rsidRDefault="000958F3" w:rsidP="000958F3">
            <w:pPr>
              <w:shd w:val="clear" w:color="auto" w:fill="FFFFFF"/>
              <w:spacing w:before="0" w:beforeAutospacing="0" w:after="0"/>
              <w:rPr>
                <w:color w:val="000000"/>
                <w:sz w:val="20"/>
                <w:szCs w:val="20"/>
              </w:rPr>
            </w:pPr>
            <w:r w:rsidRPr="000958F3">
              <w:rPr>
                <w:i/>
                <w:color w:val="000000"/>
                <w:sz w:val="20"/>
                <w:szCs w:val="20"/>
                <w:shd w:val="clear" w:color="auto" w:fill="FFFFFF"/>
                <w:lang w:bidi="ar"/>
              </w:rPr>
              <w:t>RAN4 has agreed to define RRM requirements for following two Rel-16 features.</w:t>
            </w:r>
          </w:p>
          <w:p w14:paraId="7574C902" w14:textId="77777777" w:rsidR="000958F3" w:rsidRPr="000958F3" w:rsidRDefault="000958F3" w:rsidP="000958F3">
            <w:pPr>
              <w:shd w:val="clear" w:color="auto" w:fill="FFFFFF"/>
              <w:spacing w:before="0" w:beforeAutospacing="0" w:after="0"/>
              <w:ind w:left="720" w:hanging="360"/>
              <w:jc w:val="both"/>
              <w:rPr>
                <w:color w:val="000000"/>
                <w:sz w:val="20"/>
                <w:szCs w:val="20"/>
                <w:highlight w:val="green"/>
              </w:rPr>
            </w:pPr>
            <w:r w:rsidRPr="000958F3">
              <w:rPr>
                <w:color w:val="000000"/>
                <w:sz w:val="20"/>
                <w:szCs w:val="20"/>
                <w:highlight w:val="green"/>
                <w:shd w:val="clear" w:color="auto" w:fill="FFFFFF"/>
                <w:lang w:bidi="ar"/>
              </w:rPr>
              <w:t>o    </w:t>
            </w:r>
            <w:r w:rsidRPr="000958F3">
              <w:rPr>
                <w:i/>
                <w:color w:val="000000"/>
                <w:sz w:val="20"/>
                <w:szCs w:val="20"/>
                <w:highlight w:val="green"/>
                <w:shd w:val="clear" w:color="auto" w:fill="FFFFFF"/>
                <w:lang w:bidi="ar"/>
              </w:rPr>
              <w:t>2-step RA</w:t>
            </w:r>
          </w:p>
          <w:p w14:paraId="4D059001" w14:textId="26D1294C" w:rsidR="000958F3" w:rsidRPr="000958F3" w:rsidRDefault="000958F3" w:rsidP="000958F3">
            <w:pPr>
              <w:shd w:val="clear" w:color="auto" w:fill="FFFFFF"/>
              <w:spacing w:before="0" w:beforeAutospacing="0" w:after="0"/>
              <w:ind w:left="720" w:hanging="360"/>
              <w:jc w:val="both"/>
              <w:rPr>
                <w:color w:val="000000"/>
                <w:sz w:val="20"/>
                <w:szCs w:val="20"/>
              </w:rPr>
            </w:pPr>
            <w:r w:rsidRPr="000958F3">
              <w:rPr>
                <w:color w:val="000000"/>
                <w:sz w:val="20"/>
                <w:szCs w:val="20"/>
                <w:highlight w:val="green"/>
                <w:shd w:val="clear" w:color="auto" w:fill="FFFFFF"/>
                <w:lang w:bidi="ar"/>
              </w:rPr>
              <w:t>o    </w:t>
            </w:r>
            <w:r w:rsidRPr="000958F3">
              <w:rPr>
                <w:i/>
                <w:color w:val="000000"/>
                <w:sz w:val="20"/>
                <w:szCs w:val="20"/>
                <w:highlight w:val="green"/>
                <w:shd w:val="clear" w:color="auto" w:fill="FFFFFF"/>
                <w:lang w:bidi="ar"/>
              </w:rPr>
              <w:t>NR measurements with autonomous gaps</w:t>
            </w:r>
          </w:p>
          <w:p w14:paraId="69725F69" w14:textId="77777777" w:rsidR="000958F3" w:rsidRPr="000958F3" w:rsidRDefault="000958F3" w:rsidP="000958F3">
            <w:pPr>
              <w:shd w:val="clear" w:color="auto" w:fill="FFFFFF"/>
              <w:spacing w:before="0" w:beforeAutospacing="0" w:after="0"/>
              <w:jc w:val="both"/>
              <w:rPr>
                <w:color w:val="000000"/>
                <w:sz w:val="20"/>
                <w:szCs w:val="20"/>
              </w:rPr>
            </w:pPr>
            <w:r w:rsidRPr="000958F3">
              <w:rPr>
                <w:i/>
                <w:color w:val="000000"/>
                <w:sz w:val="20"/>
                <w:szCs w:val="20"/>
                <w:shd w:val="clear" w:color="auto" w:fill="FFFFFF"/>
                <w:lang w:bidi="ar"/>
              </w:rPr>
              <w:t>For the above two features, RAN4 will also define additional requirements specific to RedCap.</w:t>
            </w:r>
          </w:p>
          <w:p w14:paraId="3D7896B4" w14:textId="76F77D0E" w:rsidR="000958F3" w:rsidRPr="000958F3" w:rsidRDefault="000958F3" w:rsidP="000958F3">
            <w:pPr>
              <w:shd w:val="clear" w:color="auto" w:fill="FFFFFF"/>
              <w:spacing w:before="0" w:beforeAutospacing="0" w:after="0"/>
              <w:jc w:val="both"/>
              <w:rPr>
                <w:rFonts w:ascii="Arial" w:hAnsi="Arial" w:cs="Arial"/>
                <w:bCs/>
                <w:sz w:val="22"/>
              </w:rPr>
            </w:pPr>
            <w:r w:rsidRPr="000958F3">
              <w:rPr>
                <w:i/>
                <w:color w:val="000000"/>
                <w:sz w:val="20"/>
                <w:szCs w:val="20"/>
                <w:shd w:val="clear" w:color="auto" w:fill="FFFFFF"/>
                <w:lang w:bidi="ar"/>
              </w:rPr>
              <w:t xml:space="preserve">In addition, RAN4 will also define RRM requirements </w:t>
            </w:r>
            <w:r w:rsidRPr="000958F3">
              <w:rPr>
                <w:i/>
                <w:color w:val="000000"/>
                <w:sz w:val="20"/>
                <w:szCs w:val="20"/>
                <w:highlight w:val="green"/>
                <w:shd w:val="clear" w:color="auto" w:fill="FFFFFF"/>
                <w:lang w:bidi="ar"/>
              </w:rPr>
              <w:t xml:space="preserve">for </w:t>
            </w:r>
            <w:proofErr w:type="gramStart"/>
            <w:r w:rsidRPr="000958F3">
              <w:rPr>
                <w:i/>
                <w:color w:val="000000"/>
                <w:sz w:val="20"/>
                <w:szCs w:val="20"/>
                <w:highlight w:val="green"/>
                <w:shd w:val="clear" w:color="auto" w:fill="FFFFFF"/>
                <w:lang w:bidi="ar"/>
              </w:rPr>
              <w:t>Small</w:t>
            </w:r>
            <w:proofErr w:type="gramEnd"/>
            <w:r w:rsidRPr="000958F3">
              <w:rPr>
                <w:i/>
                <w:color w:val="000000"/>
                <w:sz w:val="20"/>
                <w:szCs w:val="20"/>
                <w:highlight w:val="green"/>
                <w:shd w:val="clear" w:color="auto" w:fill="FFFFFF"/>
                <w:lang w:bidi="ar"/>
              </w:rPr>
              <w:t xml:space="preserve"> data transmissions (SDT)</w:t>
            </w:r>
            <w:r w:rsidRPr="000958F3">
              <w:rPr>
                <w:i/>
                <w:color w:val="000000"/>
                <w:sz w:val="20"/>
                <w:szCs w:val="20"/>
                <w:shd w:val="clear" w:color="auto" w:fill="FFFFFF"/>
                <w:lang w:bidi="ar"/>
              </w:rPr>
              <w:t xml:space="preserve"> in release 17 for RedCap capable UEs.</w:t>
            </w:r>
          </w:p>
        </w:tc>
      </w:tr>
    </w:tbl>
    <w:p w14:paraId="73896EC9" w14:textId="17DE82E6" w:rsidR="00483E32" w:rsidRPr="00483E32" w:rsidRDefault="00483E32" w:rsidP="00E860BA">
      <w:pPr>
        <w:tabs>
          <w:tab w:val="left" w:pos="990"/>
        </w:tabs>
        <w:jc w:val="both"/>
        <w:rPr>
          <w:b/>
          <w:bCs/>
          <w:i/>
          <w:iCs/>
        </w:rPr>
      </w:pPr>
      <w:r w:rsidRPr="00483E32">
        <w:rPr>
          <w:b/>
          <w:bCs/>
          <w:i/>
          <w:iCs/>
        </w:rPr>
        <w:t xml:space="preserve">Proposal 1: </w:t>
      </w:r>
      <w:r w:rsidRPr="00483E32">
        <w:rPr>
          <w:b/>
          <w:bCs/>
          <w:i/>
          <w:iCs/>
          <w:snapToGrid w:val="0"/>
        </w:rPr>
        <w:t>all CA or DC related features are not applicable for RedCap UE in R17</w:t>
      </w:r>
    </w:p>
    <w:p w14:paraId="11C99549" w14:textId="1281F033" w:rsidR="00E860BA" w:rsidRDefault="00483E32" w:rsidP="00E860BA">
      <w:pPr>
        <w:tabs>
          <w:tab w:val="left" w:pos="990"/>
        </w:tabs>
        <w:jc w:val="both"/>
        <w:rPr>
          <w:b/>
          <w:bCs/>
          <w:i/>
          <w:iCs/>
          <w:snapToGrid w:val="0"/>
        </w:rPr>
      </w:pPr>
      <w:r w:rsidRPr="000958F3">
        <w:rPr>
          <w:b/>
          <w:bCs/>
          <w:i/>
          <w:iCs/>
          <w:snapToGrid w:val="0"/>
        </w:rPr>
        <w:t xml:space="preserve">Proposal 2: from RAN4 perspective, do not need to directly preclude any UE capability for RedCap UE except those CA or DC </w:t>
      </w:r>
      <w:r w:rsidR="001F15B6" w:rsidRPr="000958F3">
        <w:rPr>
          <w:b/>
          <w:bCs/>
          <w:i/>
          <w:iCs/>
          <w:snapToGrid w:val="0"/>
        </w:rPr>
        <w:t>related</w:t>
      </w:r>
      <w:r w:rsidRPr="000958F3">
        <w:rPr>
          <w:b/>
          <w:bCs/>
          <w:i/>
          <w:iCs/>
          <w:snapToGrid w:val="0"/>
        </w:rPr>
        <w:t xml:space="preserve"> features, but </w:t>
      </w:r>
      <w:r w:rsidR="001F15B6" w:rsidRPr="000958F3">
        <w:rPr>
          <w:b/>
          <w:bCs/>
          <w:i/>
          <w:iCs/>
          <w:snapToGrid w:val="0"/>
        </w:rPr>
        <w:t>RAN4</w:t>
      </w:r>
      <w:r w:rsidRPr="000958F3">
        <w:rPr>
          <w:b/>
          <w:bCs/>
          <w:i/>
          <w:iCs/>
          <w:snapToGrid w:val="0"/>
        </w:rPr>
        <w:t xml:space="preserve"> could clarify that </w:t>
      </w:r>
      <w:r w:rsidR="001F15B6" w:rsidRPr="000958F3">
        <w:rPr>
          <w:b/>
          <w:bCs/>
          <w:i/>
          <w:iCs/>
          <w:snapToGrid w:val="0"/>
        </w:rPr>
        <w:t>RAN4</w:t>
      </w:r>
      <w:r w:rsidRPr="000958F3">
        <w:rPr>
          <w:b/>
          <w:bCs/>
          <w:i/>
          <w:iCs/>
          <w:snapToGrid w:val="0"/>
        </w:rPr>
        <w:t xml:space="preserve"> would </w:t>
      </w:r>
      <w:r w:rsidR="001F15B6" w:rsidRPr="000958F3">
        <w:rPr>
          <w:b/>
          <w:bCs/>
          <w:i/>
          <w:iCs/>
          <w:snapToGrid w:val="0"/>
        </w:rPr>
        <w:t xml:space="preserve">by default </w:t>
      </w:r>
      <w:r w:rsidRPr="000958F3">
        <w:rPr>
          <w:b/>
          <w:bCs/>
          <w:i/>
          <w:iCs/>
          <w:snapToGrid w:val="0"/>
        </w:rPr>
        <w:t xml:space="preserve">not define </w:t>
      </w:r>
      <w:r w:rsidR="001F15B6" w:rsidRPr="000958F3">
        <w:rPr>
          <w:b/>
          <w:bCs/>
          <w:i/>
          <w:iCs/>
          <w:snapToGrid w:val="0"/>
        </w:rPr>
        <w:t xml:space="preserve">R16 feature related </w:t>
      </w:r>
      <w:r w:rsidRPr="000958F3">
        <w:rPr>
          <w:b/>
          <w:bCs/>
          <w:i/>
          <w:iCs/>
          <w:snapToGrid w:val="0"/>
        </w:rPr>
        <w:t xml:space="preserve">requirement for </w:t>
      </w:r>
      <w:r w:rsidR="001F15B6" w:rsidRPr="000958F3">
        <w:rPr>
          <w:b/>
          <w:bCs/>
          <w:i/>
          <w:iCs/>
          <w:snapToGrid w:val="0"/>
        </w:rPr>
        <w:t xml:space="preserve">RedCap UE </w:t>
      </w:r>
      <w:r w:rsidR="000958F3" w:rsidRPr="000958F3">
        <w:rPr>
          <w:b/>
          <w:bCs/>
          <w:i/>
          <w:iCs/>
          <w:snapToGrid w:val="0"/>
        </w:rPr>
        <w:t xml:space="preserve">except the ones agreed in WF </w:t>
      </w:r>
      <w:r w:rsidR="000958F3" w:rsidRPr="000958F3">
        <w:rPr>
          <w:rFonts w:hint="eastAsia"/>
          <w:b/>
          <w:bCs/>
          <w:i/>
          <w:iCs/>
          <w:snapToGrid w:val="0"/>
        </w:rPr>
        <w:t>R4-2120410</w:t>
      </w:r>
      <w:r w:rsidRPr="000958F3">
        <w:rPr>
          <w:b/>
          <w:bCs/>
          <w:i/>
          <w:iCs/>
          <w:snapToGrid w:val="0"/>
        </w:rPr>
        <w:t xml:space="preserve">. </w:t>
      </w:r>
    </w:p>
    <w:p w14:paraId="682C9E09" w14:textId="47A5CC58" w:rsidR="00D63DE1" w:rsidRDefault="00D63DE1" w:rsidP="00D63DE1">
      <w:pPr>
        <w:pStyle w:val="Heading1"/>
        <w:numPr>
          <w:ilvl w:val="0"/>
          <w:numId w:val="10"/>
        </w:numPr>
        <w:pBdr>
          <w:top w:val="single" w:sz="12" w:space="2" w:color="auto"/>
        </w:pBdr>
        <w:jc w:val="both"/>
        <w:rPr>
          <w:sz w:val="32"/>
        </w:rPr>
      </w:pPr>
      <w:r>
        <w:rPr>
          <w:sz w:val="32"/>
        </w:rPr>
        <w:t>NCD-SSB design of RedCap RRM</w:t>
      </w:r>
    </w:p>
    <w:p w14:paraId="3E9D389D" w14:textId="4AC019C6" w:rsidR="00D63DE1" w:rsidRPr="00D63DE1" w:rsidRDefault="00D63DE1" w:rsidP="00403517">
      <w:pPr>
        <w:jc w:val="both"/>
        <w:rPr>
          <w:lang w:val="en-GB"/>
        </w:rPr>
      </w:pPr>
      <w:r>
        <w:rPr>
          <w:lang w:val="en-GB"/>
        </w:rPr>
        <w:t>In last meeting, RAN4 agreed some aspects of NCD-SSB design in [1]</w:t>
      </w:r>
      <w:r w:rsidR="00403517">
        <w:rPr>
          <w:lang w:val="en-GB"/>
        </w:rPr>
        <w:t xml:space="preserve">, and we would like to continue discussing on some remaining issues listed in this WF. </w:t>
      </w:r>
    </w:p>
    <w:p w14:paraId="1DE894AB" w14:textId="6BD11FBD" w:rsidR="00D63DE1" w:rsidRDefault="000D2A81" w:rsidP="00E860BA">
      <w:pPr>
        <w:tabs>
          <w:tab w:val="left" w:pos="990"/>
        </w:tabs>
        <w:jc w:val="both"/>
        <w:rPr>
          <w:snapToGrid w:val="0"/>
        </w:rPr>
      </w:pPr>
      <w:r w:rsidRPr="000D2A81">
        <w:rPr>
          <w:snapToGrid w:val="0"/>
        </w:rPr>
        <w:t>The remaining issue under question 1 was:</w:t>
      </w:r>
    </w:p>
    <w:tbl>
      <w:tblPr>
        <w:tblStyle w:val="TableGrid"/>
        <w:tblW w:w="0" w:type="auto"/>
        <w:tblLook w:val="04A0" w:firstRow="1" w:lastRow="0" w:firstColumn="1" w:lastColumn="0" w:noHBand="0" w:noVBand="1"/>
      </w:tblPr>
      <w:tblGrid>
        <w:gridCol w:w="9629"/>
      </w:tblGrid>
      <w:tr w:rsidR="000D2A81" w14:paraId="16EC6828" w14:textId="77777777" w:rsidTr="000D2A81">
        <w:tc>
          <w:tcPr>
            <w:tcW w:w="9629" w:type="dxa"/>
          </w:tcPr>
          <w:p w14:paraId="06647D62" w14:textId="77777777" w:rsidR="000D2A81" w:rsidRPr="000D2A81" w:rsidRDefault="000D2A81" w:rsidP="000D2A81">
            <w:pPr>
              <w:rPr>
                <w:sz w:val="20"/>
                <w:szCs w:val="20"/>
              </w:rPr>
            </w:pPr>
            <w:r w:rsidRPr="000D2A81">
              <w:rPr>
                <w:sz w:val="20"/>
                <w:szCs w:val="20"/>
                <w:u w:val="single"/>
              </w:rPr>
              <w:t>Question 1: whether it is feasible to use NCD-SSB for serving and non-serving cell measurements for idle, inactive, and/or connected mode for all or some of RRM, RLM, BFD, link recovery, RO selection, mobility, time/frequency tracking and AGC</w:t>
            </w:r>
          </w:p>
          <w:p w14:paraId="582ACA94" w14:textId="77777777" w:rsidR="000D2A81" w:rsidRPr="000D2A81" w:rsidRDefault="000D2A81" w:rsidP="000D2A81">
            <w:pPr>
              <w:pStyle w:val="ListParagraph"/>
              <w:widowControl/>
              <w:numPr>
                <w:ilvl w:val="0"/>
                <w:numId w:val="22"/>
              </w:numPr>
              <w:autoSpaceDE/>
              <w:autoSpaceDN/>
              <w:adjustRightInd/>
              <w:spacing w:before="0" w:beforeAutospacing="0" w:after="160" w:line="252" w:lineRule="auto"/>
              <w:ind w:firstLineChars="0"/>
              <w:contextualSpacing/>
              <w:rPr>
                <w:sz w:val="20"/>
                <w:szCs w:val="20"/>
                <w:highlight w:val="green"/>
                <w:lang w:eastAsia="ja-JP"/>
              </w:rPr>
            </w:pPr>
            <w:r w:rsidRPr="000D2A81">
              <w:rPr>
                <w:sz w:val="20"/>
                <w:szCs w:val="20"/>
                <w:highlight w:val="green"/>
                <w:lang w:eastAsia="ja-JP"/>
              </w:rPr>
              <w:t>Agreements</w:t>
            </w:r>
          </w:p>
          <w:p w14:paraId="7CAA6F85" w14:textId="77777777" w:rsidR="000D2A81" w:rsidRPr="000D2A81" w:rsidRDefault="000D2A81" w:rsidP="000D2A81">
            <w:pPr>
              <w:pStyle w:val="ListParagraph"/>
              <w:widowControl/>
              <w:numPr>
                <w:ilvl w:val="1"/>
                <w:numId w:val="22"/>
              </w:numPr>
              <w:autoSpaceDE/>
              <w:autoSpaceDN/>
              <w:adjustRightInd/>
              <w:spacing w:before="0" w:beforeAutospacing="0" w:after="160" w:line="252" w:lineRule="auto"/>
              <w:ind w:firstLineChars="0"/>
              <w:contextualSpacing/>
              <w:rPr>
                <w:sz w:val="20"/>
                <w:szCs w:val="20"/>
                <w:highlight w:val="green"/>
                <w:lang w:eastAsia="ja-JP"/>
              </w:rPr>
            </w:pPr>
            <w:r w:rsidRPr="000D2A81">
              <w:rPr>
                <w:sz w:val="20"/>
                <w:szCs w:val="20"/>
                <w:highlight w:val="green"/>
                <w:lang w:eastAsia="ja-JP"/>
              </w:rPr>
              <w:t>It is feasible to use NCD-SSB for serving and non-serving cell measurements for idle, inactive, and/or connected mode for all or some of RRM, RLM, BFD, link recovery, RO selection, mobility, time/frequency tracking and AGC</w:t>
            </w:r>
          </w:p>
          <w:p w14:paraId="318546C4" w14:textId="77777777" w:rsidR="000D2A81" w:rsidRPr="000D2A81" w:rsidRDefault="000D2A81" w:rsidP="000D2A81">
            <w:pPr>
              <w:pStyle w:val="ListParagraph"/>
              <w:widowControl/>
              <w:numPr>
                <w:ilvl w:val="2"/>
                <w:numId w:val="22"/>
              </w:numPr>
              <w:autoSpaceDE/>
              <w:autoSpaceDN/>
              <w:adjustRightInd/>
              <w:spacing w:before="0" w:beforeAutospacing="0" w:after="160" w:line="252" w:lineRule="auto"/>
              <w:ind w:firstLineChars="0"/>
              <w:contextualSpacing/>
              <w:rPr>
                <w:sz w:val="20"/>
                <w:szCs w:val="20"/>
                <w:lang w:eastAsia="zh-CN"/>
              </w:rPr>
            </w:pPr>
            <w:r w:rsidRPr="000D2A81">
              <w:rPr>
                <w:sz w:val="20"/>
                <w:szCs w:val="20"/>
                <w:highlight w:val="green"/>
                <w:lang w:eastAsia="ja-JP"/>
              </w:rPr>
              <w:t>FFS for specific conditions when it is feasible to use NCD-SSB</w:t>
            </w:r>
          </w:p>
          <w:p w14:paraId="3B530384" w14:textId="1E6E0FA7" w:rsidR="000D2A81" w:rsidRPr="000D2A81" w:rsidRDefault="000D2A81" w:rsidP="000D2A81">
            <w:pPr>
              <w:pStyle w:val="ListParagraph"/>
              <w:widowControl/>
              <w:numPr>
                <w:ilvl w:val="2"/>
                <w:numId w:val="22"/>
              </w:numPr>
              <w:autoSpaceDE/>
              <w:autoSpaceDN/>
              <w:adjustRightInd/>
              <w:spacing w:before="0" w:beforeAutospacing="0" w:after="160" w:line="252" w:lineRule="auto"/>
              <w:ind w:firstLineChars="0"/>
              <w:contextualSpacing/>
              <w:rPr>
                <w:sz w:val="20"/>
                <w:szCs w:val="20"/>
                <w:lang w:eastAsia="zh-CN"/>
              </w:rPr>
            </w:pPr>
            <w:r w:rsidRPr="000D2A81">
              <w:rPr>
                <w:sz w:val="20"/>
                <w:szCs w:val="20"/>
                <w:highlight w:val="green"/>
                <w:lang w:eastAsia="ja-JP"/>
              </w:rPr>
              <w:t>It is RAN4 understanding that NCD-SSB measurements support may require additional signalling which is up to RAN2</w:t>
            </w:r>
          </w:p>
          <w:p w14:paraId="7ABAC347" w14:textId="77777777" w:rsidR="000D2A81" w:rsidRPr="000D2A81" w:rsidRDefault="000D2A81" w:rsidP="000D2A81">
            <w:pPr>
              <w:rPr>
                <w:rFonts w:eastAsia="SimSun"/>
                <w:sz w:val="20"/>
                <w:szCs w:val="20"/>
              </w:rPr>
            </w:pPr>
            <w:r w:rsidRPr="000D2A81">
              <w:rPr>
                <w:sz w:val="20"/>
                <w:szCs w:val="20"/>
                <w:lang w:eastAsia="ja-JP"/>
              </w:rPr>
              <w:t>FFS for specific conditions when it is feasible to use NCD-SSB</w:t>
            </w:r>
            <w:r w:rsidRPr="000D2A81">
              <w:rPr>
                <w:rFonts w:eastAsia="SimSun" w:hint="eastAsia"/>
                <w:sz w:val="20"/>
                <w:szCs w:val="20"/>
              </w:rPr>
              <w:t>:</w:t>
            </w:r>
          </w:p>
          <w:p w14:paraId="69E2834F" w14:textId="77777777" w:rsidR="000D2A81" w:rsidRPr="000D2A81" w:rsidRDefault="000D2A81" w:rsidP="000D2A81">
            <w:pPr>
              <w:pStyle w:val="ListParagraph"/>
              <w:widowControl/>
              <w:numPr>
                <w:ilvl w:val="1"/>
                <w:numId w:val="22"/>
              </w:numPr>
              <w:autoSpaceDE/>
              <w:autoSpaceDN/>
              <w:adjustRightInd/>
              <w:spacing w:before="0" w:beforeAutospacing="0" w:after="160" w:line="252" w:lineRule="auto"/>
              <w:ind w:firstLineChars="0"/>
              <w:contextualSpacing/>
              <w:rPr>
                <w:sz w:val="20"/>
                <w:szCs w:val="20"/>
                <w:lang w:eastAsia="ja-JP"/>
              </w:rPr>
            </w:pPr>
            <w:r w:rsidRPr="000D2A81">
              <w:rPr>
                <w:sz w:val="20"/>
                <w:szCs w:val="20"/>
                <w:lang w:eastAsia="ja-JP"/>
              </w:rPr>
              <w:t>Condition 1: NCD-SSB is ‘QCL’-ed with CD-SSB</w:t>
            </w:r>
          </w:p>
          <w:p w14:paraId="31D46C1B" w14:textId="77777777" w:rsidR="000D2A81" w:rsidRPr="000D2A81" w:rsidRDefault="000D2A81" w:rsidP="000D2A81">
            <w:pPr>
              <w:pStyle w:val="ListParagraph"/>
              <w:widowControl/>
              <w:numPr>
                <w:ilvl w:val="1"/>
                <w:numId w:val="22"/>
              </w:numPr>
              <w:autoSpaceDE/>
              <w:autoSpaceDN/>
              <w:adjustRightInd/>
              <w:spacing w:before="0" w:beforeAutospacing="0" w:after="160" w:line="252" w:lineRule="auto"/>
              <w:ind w:firstLineChars="0"/>
              <w:contextualSpacing/>
              <w:rPr>
                <w:sz w:val="20"/>
                <w:szCs w:val="20"/>
                <w:lang w:eastAsia="ja-JP"/>
              </w:rPr>
            </w:pPr>
            <w:r w:rsidRPr="000D2A81">
              <w:rPr>
                <w:sz w:val="20"/>
                <w:szCs w:val="20"/>
                <w:lang w:eastAsia="ja-JP"/>
              </w:rPr>
              <w:t>Condition 2: NCD-SSB is transmitted by UE’s serving cell with the same SCS</w:t>
            </w:r>
          </w:p>
          <w:p w14:paraId="3D440BB2" w14:textId="77777777" w:rsidR="000D2A81" w:rsidRPr="000D2A81" w:rsidRDefault="000D2A81" w:rsidP="000D2A81">
            <w:pPr>
              <w:pStyle w:val="ListParagraph"/>
              <w:widowControl/>
              <w:numPr>
                <w:ilvl w:val="1"/>
                <w:numId w:val="22"/>
              </w:numPr>
              <w:autoSpaceDE/>
              <w:autoSpaceDN/>
              <w:adjustRightInd/>
              <w:spacing w:before="0" w:beforeAutospacing="0" w:after="160" w:line="252" w:lineRule="auto"/>
              <w:ind w:firstLineChars="0"/>
              <w:contextualSpacing/>
              <w:rPr>
                <w:sz w:val="20"/>
                <w:szCs w:val="20"/>
                <w:lang w:eastAsia="ja-JP"/>
              </w:rPr>
            </w:pPr>
            <w:r w:rsidRPr="000D2A81">
              <w:rPr>
                <w:sz w:val="20"/>
                <w:szCs w:val="20"/>
                <w:lang w:eastAsia="ja-JP"/>
              </w:rPr>
              <w:t>Condition 3: Neighboring cell’s NCD-SSB shall be placed to collide with serving cells’ NCD-SSB, if neighboring cell measurement is of necessity.</w:t>
            </w:r>
          </w:p>
          <w:p w14:paraId="36593253" w14:textId="1A68F8CA" w:rsidR="000D2A81" w:rsidRPr="000D2A81" w:rsidRDefault="000D2A81" w:rsidP="000D2A81">
            <w:pPr>
              <w:pStyle w:val="ListParagraph"/>
              <w:widowControl/>
              <w:numPr>
                <w:ilvl w:val="1"/>
                <w:numId w:val="22"/>
              </w:numPr>
              <w:autoSpaceDE/>
              <w:autoSpaceDN/>
              <w:adjustRightInd/>
              <w:spacing w:before="0" w:beforeAutospacing="0" w:after="160" w:line="252" w:lineRule="auto"/>
              <w:ind w:firstLineChars="0"/>
              <w:contextualSpacing/>
              <w:rPr>
                <w:sz w:val="22"/>
                <w:lang w:eastAsia="ja-JP"/>
              </w:rPr>
            </w:pPr>
            <w:r w:rsidRPr="000D2A81">
              <w:rPr>
                <w:rFonts w:eastAsiaTheme="minorEastAsia"/>
                <w:sz w:val="20"/>
                <w:szCs w:val="20"/>
                <w:lang w:eastAsia="zh-CN"/>
              </w:rPr>
              <w:t>O</w:t>
            </w:r>
            <w:r w:rsidRPr="000D2A81">
              <w:rPr>
                <w:rFonts w:eastAsiaTheme="minorEastAsia" w:hint="eastAsia"/>
                <w:sz w:val="20"/>
                <w:szCs w:val="20"/>
                <w:lang w:eastAsia="zh-CN"/>
              </w:rPr>
              <w:t xml:space="preserve">ther </w:t>
            </w:r>
            <w:r w:rsidRPr="000D2A81">
              <w:rPr>
                <w:rFonts w:eastAsiaTheme="minorEastAsia"/>
                <w:sz w:val="20"/>
                <w:szCs w:val="20"/>
                <w:lang w:eastAsia="zh-CN"/>
              </w:rPr>
              <w:t>conditions are not precluded.</w:t>
            </w:r>
          </w:p>
        </w:tc>
      </w:tr>
    </w:tbl>
    <w:p w14:paraId="50BB8EF8" w14:textId="0A640308" w:rsidR="000D2A81" w:rsidRDefault="000D2A81" w:rsidP="00E860BA">
      <w:pPr>
        <w:tabs>
          <w:tab w:val="left" w:pos="990"/>
        </w:tabs>
        <w:jc w:val="both"/>
        <w:rPr>
          <w:snapToGrid w:val="0"/>
        </w:rPr>
      </w:pPr>
      <w:r>
        <w:rPr>
          <w:snapToGrid w:val="0"/>
        </w:rPr>
        <w:t>Even though RAN1/RAN2 LS didn’t limit the QCL relation between NCD-SSB and CD-SSB, we observed some benefit to have</w:t>
      </w:r>
      <w:r w:rsidR="00710A35">
        <w:rPr>
          <w:snapToGrid w:val="0"/>
        </w:rPr>
        <w:t xml:space="preserve"> a QCL relation between NCD-SSB and CD-SSB. For CSI-RS L1-RSRP measurement, if CSI-RS is QCLed with a CD-SSB outside the current active BWP, UE may </w:t>
      </w:r>
      <w:r w:rsidR="00710A35">
        <w:rPr>
          <w:snapToGrid w:val="0"/>
        </w:rPr>
        <w:lastRenderedPageBreak/>
        <w:t>need to train the CD-SSB</w:t>
      </w:r>
      <w:r w:rsidR="007815C8">
        <w:rPr>
          <w:snapToGrid w:val="0"/>
        </w:rPr>
        <w:t xml:space="preserve"> rough beam (L3 serving cell measurement with MG) and then could perform L1-RSRP measurement for CSI-RS with fine beams. Since NCD-SSB is a </w:t>
      </w:r>
      <w:r w:rsidR="00DC34FD">
        <w:rPr>
          <w:snapToGrid w:val="0"/>
        </w:rPr>
        <w:t>functionality to avoid UE from frequent RF tuning/retuning, it would be benefitial if UE could get rough beam information from NCD-SSB without MG/interruption, similar as training rough beam on CD-SSB; that is, it’s beneficial to build such QCL relation between CD-SSB and NCD-SSB. To network, it would not cause extra efforts since anyway NCD-SSB would be transmitted by using different Tx beams in a same way as CD-SSB transmission.</w:t>
      </w:r>
    </w:p>
    <w:p w14:paraId="39D5124A" w14:textId="7CCC6113" w:rsidR="00B6546F" w:rsidRDefault="00B6546F" w:rsidP="00E860BA">
      <w:pPr>
        <w:tabs>
          <w:tab w:val="left" w:pos="990"/>
        </w:tabs>
        <w:jc w:val="both"/>
        <w:rPr>
          <w:snapToGrid w:val="0"/>
        </w:rPr>
      </w:pPr>
      <w:r>
        <w:rPr>
          <w:snapToGrid w:val="0"/>
        </w:rPr>
        <w:t>RAN4 replies in last meeting was:</w:t>
      </w:r>
    </w:p>
    <w:tbl>
      <w:tblPr>
        <w:tblStyle w:val="TableGrid"/>
        <w:tblW w:w="0" w:type="auto"/>
        <w:tblLook w:val="04A0" w:firstRow="1" w:lastRow="0" w:firstColumn="1" w:lastColumn="0" w:noHBand="0" w:noVBand="1"/>
      </w:tblPr>
      <w:tblGrid>
        <w:gridCol w:w="9629"/>
      </w:tblGrid>
      <w:tr w:rsidR="00B6546F" w14:paraId="20A14999" w14:textId="77777777" w:rsidTr="00B6546F">
        <w:tc>
          <w:tcPr>
            <w:tcW w:w="9629" w:type="dxa"/>
          </w:tcPr>
          <w:p w14:paraId="6B0BCC7F" w14:textId="39BF2045" w:rsidR="00B6546F" w:rsidRPr="00B6546F" w:rsidRDefault="00B6546F" w:rsidP="00B6546F">
            <w:pPr>
              <w:pStyle w:val="ListParagraph"/>
              <w:spacing w:line="240" w:lineRule="auto"/>
              <w:ind w:firstLineChars="0" w:firstLine="0"/>
              <w:jc w:val="both"/>
              <w:rPr>
                <w:bCs/>
                <w:sz w:val="20"/>
                <w:szCs w:val="20"/>
              </w:rPr>
            </w:pPr>
            <w:r w:rsidRPr="00B6546F">
              <w:rPr>
                <w:rFonts w:hint="eastAsia"/>
                <w:bCs/>
                <w:sz w:val="20"/>
                <w:szCs w:val="20"/>
                <w:lang w:val="en-US" w:eastAsia="zh-CN"/>
              </w:rPr>
              <w:t xml:space="preserve">Question 2 </w:t>
            </w:r>
            <w:r w:rsidRPr="00B6546F">
              <w:rPr>
                <w:bCs/>
                <w:sz w:val="20"/>
                <w:szCs w:val="20"/>
              </w:rPr>
              <w:t>[RAN2/4] whether it is feasible to use NCD-SSB as QCL source of other DL channels/signals and as spatial relation (for UL channels/signals) transmitted in idle, inactive, and/or connected mode in the initial/non-initial DL BWP of RedCap UE</w:t>
            </w:r>
          </w:p>
          <w:p w14:paraId="3EB111E8" w14:textId="77777777" w:rsidR="00B6546F" w:rsidRPr="00B6546F" w:rsidRDefault="00B6546F" w:rsidP="00B6546F">
            <w:pPr>
              <w:spacing w:after="0"/>
              <w:jc w:val="both"/>
              <w:rPr>
                <w:bCs/>
                <w:sz w:val="20"/>
                <w:szCs w:val="20"/>
                <w:highlight w:val="green"/>
              </w:rPr>
            </w:pPr>
            <w:r w:rsidRPr="00B6546F">
              <w:rPr>
                <w:rFonts w:eastAsia="SimSun" w:hint="eastAsia"/>
                <w:bCs/>
                <w:sz w:val="20"/>
                <w:szCs w:val="20"/>
                <w:highlight w:val="green"/>
              </w:rPr>
              <w:t xml:space="preserve">RAN4 </w:t>
            </w:r>
            <w:r w:rsidRPr="00B6546F">
              <w:rPr>
                <w:rFonts w:eastAsia="SimSun"/>
                <w:bCs/>
                <w:sz w:val="20"/>
                <w:szCs w:val="20"/>
                <w:highlight w:val="green"/>
              </w:rPr>
              <w:t>answer</w:t>
            </w:r>
            <w:r w:rsidRPr="00B6546F">
              <w:rPr>
                <w:rFonts w:eastAsia="SimSun" w:hint="eastAsia"/>
                <w:bCs/>
                <w:sz w:val="20"/>
                <w:szCs w:val="20"/>
                <w:highlight w:val="green"/>
              </w:rPr>
              <w:t xml:space="preserve">: </w:t>
            </w:r>
          </w:p>
          <w:p w14:paraId="2F006EF4" w14:textId="600D0A55" w:rsidR="00B6546F" w:rsidRPr="00B6546F" w:rsidRDefault="00B6546F" w:rsidP="00B6546F">
            <w:pPr>
              <w:spacing w:after="0"/>
              <w:jc w:val="both"/>
              <w:rPr>
                <w:rFonts w:eastAsia="SimSun"/>
                <w:sz w:val="20"/>
                <w:szCs w:val="20"/>
                <w:highlight w:val="green"/>
              </w:rPr>
            </w:pPr>
            <w:r w:rsidRPr="00B6546F">
              <w:rPr>
                <w:rFonts w:hint="eastAsia"/>
                <w:bCs/>
                <w:sz w:val="20"/>
                <w:szCs w:val="20"/>
                <w:highlight w:val="green"/>
              </w:rPr>
              <w:t>Based on the given information from RAN1 and current RAN4 understanding,</w:t>
            </w:r>
            <w:r w:rsidRPr="00B6546F">
              <w:rPr>
                <w:rFonts w:eastAsia="SimSun" w:hint="eastAsia"/>
                <w:bCs/>
                <w:sz w:val="20"/>
                <w:szCs w:val="20"/>
                <w:highlight w:val="green"/>
              </w:rPr>
              <w:t xml:space="preserve"> it is feasible to use </w:t>
            </w:r>
            <w:r w:rsidRPr="00B6546F">
              <w:rPr>
                <w:bCs/>
                <w:sz w:val="20"/>
                <w:szCs w:val="20"/>
                <w:highlight w:val="green"/>
              </w:rPr>
              <w:t>NCD-SSB as QCL source</w:t>
            </w:r>
            <w:r w:rsidRPr="00B6546F">
              <w:rPr>
                <w:rFonts w:eastAsia="SimSun" w:hint="eastAsia"/>
                <w:bCs/>
                <w:sz w:val="20"/>
                <w:szCs w:val="20"/>
                <w:highlight w:val="green"/>
              </w:rPr>
              <w:t xml:space="preserve"> </w:t>
            </w:r>
            <w:r w:rsidRPr="00B6546F">
              <w:rPr>
                <w:bCs/>
                <w:sz w:val="20"/>
                <w:szCs w:val="20"/>
                <w:highlight w:val="green"/>
              </w:rPr>
              <w:t>of other DL channels/signals and as spatial relation (for UL channels/signals) transmitted in idle, inactive, and/or connected mode in the initial/non-initial DL BWP of RedCap UE,</w:t>
            </w:r>
            <w:r w:rsidRPr="00B6546F">
              <w:rPr>
                <w:rFonts w:eastAsia="SimSun" w:hint="eastAsia"/>
                <w:sz w:val="20"/>
                <w:szCs w:val="20"/>
                <w:highlight w:val="green"/>
              </w:rPr>
              <w:t xml:space="preserve"> if the NCD-SSB is QCL</w:t>
            </w:r>
            <w:r w:rsidRPr="00B6546F">
              <w:rPr>
                <w:rFonts w:eastAsia="SimSun"/>
                <w:sz w:val="20"/>
                <w:szCs w:val="20"/>
                <w:highlight w:val="green"/>
              </w:rPr>
              <w:t>’</w:t>
            </w:r>
            <w:r w:rsidRPr="00B6546F">
              <w:rPr>
                <w:rFonts w:eastAsia="SimSun" w:hint="eastAsia"/>
                <w:sz w:val="20"/>
                <w:szCs w:val="20"/>
                <w:highlight w:val="green"/>
              </w:rPr>
              <w:t>ed with the CD-SSB of UE</w:t>
            </w:r>
            <w:r w:rsidRPr="00B6546F">
              <w:rPr>
                <w:rFonts w:eastAsia="SimSun"/>
                <w:sz w:val="20"/>
                <w:szCs w:val="20"/>
                <w:highlight w:val="green"/>
              </w:rPr>
              <w:t>’</w:t>
            </w:r>
            <w:r w:rsidRPr="00B6546F">
              <w:rPr>
                <w:rFonts w:eastAsia="SimSun" w:hint="eastAsia"/>
                <w:sz w:val="20"/>
                <w:szCs w:val="20"/>
                <w:highlight w:val="green"/>
              </w:rPr>
              <w:t>s serving cell.</w:t>
            </w:r>
          </w:p>
          <w:p w14:paraId="079CACE4" w14:textId="704EE1A6" w:rsidR="00B6546F" w:rsidRPr="00B6546F" w:rsidRDefault="00B6546F" w:rsidP="00B6546F">
            <w:pPr>
              <w:spacing w:after="0"/>
              <w:jc w:val="both"/>
              <w:rPr>
                <w:snapToGrid w:val="0"/>
              </w:rPr>
            </w:pPr>
            <w:r w:rsidRPr="00B6546F">
              <w:rPr>
                <w:rFonts w:eastAsia="SimSun"/>
                <w:sz w:val="20"/>
                <w:szCs w:val="20"/>
                <w:highlight w:val="green"/>
              </w:rPr>
              <w:t xml:space="preserve">For the case when </w:t>
            </w:r>
            <w:r w:rsidRPr="00B6546F">
              <w:rPr>
                <w:rFonts w:eastAsia="SimSun" w:hint="eastAsia"/>
                <w:sz w:val="20"/>
                <w:szCs w:val="20"/>
                <w:highlight w:val="green"/>
              </w:rPr>
              <w:t xml:space="preserve">NCD-SSB is </w:t>
            </w:r>
            <w:r w:rsidRPr="00B6546F">
              <w:rPr>
                <w:rFonts w:eastAsia="SimSun"/>
                <w:sz w:val="20"/>
                <w:szCs w:val="20"/>
                <w:highlight w:val="green"/>
              </w:rPr>
              <w:t xml:space="preserve">not </w:t>
            </w:r>
            <w:r w:rsidRPr="00B6546F">
              <w:rPr>
                <w:rFonts w:eastAsia="SimSun" w:hint="eastAsia"/>
                <w:sz w:val="20"/>
                <w:szCs w:val="20"/>
                <w:highlight w:val="green"/>
              </w:rPr>
              <w:t>QCL</w:t>
            </w:r>
            <w:r w:rsidRPr="00B6546F">
              <w:rPr>
                <w:rFonts w:eastAsia="SimSun"/>
                <w:sz w:val="20"/>
                <w:szCs w:val="20"/>
                <w:highlight w:val="green"/>
              </w:rPr>
              <w:t>’</w:t>
            </w:r>
            <w:r w:rsidRPr="00B6546F">
              <w:rPr>
                <w:rFonts w:eastAsia="SimSun" w:hint="eastAsia"/>
                <w:sz w:val="20"/>
                <w:szCs w:val="20"/>
                <w:highlight w:val="green"/>
              </w:rPr>
              <w:t>ed</w:t>
            </w:r>
            <w:r w:rsidRPr="00B6546F">
              <w:rPr>
                <w:rFonts w:eastAsia="SimSun"/>
                <w:sz w:val="20"/>
                <w:szCs w:val="20"/>
                <w:highlight w:val="green"/>
              </w:rPr>
              <w:t xml:space="preserve"> with the CD-SSB of UE’s serving cell,</w:t>
            </w:r>
            <w:r w:rsidRPr="00B6546F">
              <w:rPr>
                <w:rFonts w:eastAsia="SimSun" w:hint="eastAsia"/>
                <w:sz w:val="20"/>
                <w:szCs w:val="20"/>
                <w:highlight w:val="green"/>
              </w:rPr>
              <w:t xml:space="preserve"> </w:t>
            </w:r>
            <w:r w:rsidRPr="00B6546F">
              <w:rPr>
                <w:rFonts w:eastAsia="SimSun"/>
                <w:sz w:val="20"/>
                <w:szCs w:val="20"/>
                <w:highlight w:val="green"/>
              </w:rPr>
              <w:t>RAN4 has not reached the conclusions and recommend RAN1 to make the decision.</w:t>
            </w:r>
          </w:p>
        </w:tc>
      </w:tr>
    </w:tbl>
    <w:p w14:paraId="2A3044D4" w14:textId="4725783D" w:rsidR="00DC34FD" w:rsidRDefault="00DC34FD" w:rsidP="00E860BA">
      <w:pPr>
        <w:tabs>
          <w:tab w:val="left" w:pos="990"/>
        </w:tabs>
        <w:jc w:val="both"/>
        <w:rPr>
          <w:b/>
          <w:bCs/>
          <w:i/>
          <w:iCs/>
          <w:snapToGrid w:val="0"/>
        </w:rPr>
      </w:pPr>
      <w:r w:rsidRPr="000320E4">
        <w:rPr>
          <w:b/>
          <w:bCs/>
          <w:i/>
          <w:iCs/>
          <w:snapToGrid w:val="0"/>
        </w:rPr>
        <w:t>Proposal 3: RAN4 to assume</w:t>
      </w:r>
      <w:r w:rsidR="000320E4" w:rsidRPr="000320E4">
        <w:rPr>
          <w:b/>
          <w:bCs/>
          <w:i/>
          <w:iCs/>
          <w:snapToGrid w:val="0"/>
        </w:rPr>
        <w:t xml:space="preserve"> NCD-SSB is ‘QCL’-ed with CD-SSB when this NCD-SSB and CD-SSB shares the same SSB index.</w:t>
      </w:r>
    </w:p>
    <w:p w14:paraId="03829388" w14:textId="58E55137" w:rsidR="001B2E66" w:rsidRDefault="001B2E66" w:rsidP="00E860BA">
      <w:pPr>
        <w:tabs>
          <w:tab w:val="left" w:pos="990"/>
        </w:tabs>
        <w:jc w:val="both"/>
        <w:rPr>
          <w:snapToGrid w:val="0"/>
        </w:rPr>
      </w:pPr>
      <w:r w:rsidRPr="001B2E66">
        <w:rPr>
          <w:snapToGrid w:val="0"/>
        </w:rPr>
        <w:t>Regarding the SCS of NCD-SSB, we think</w:t>
      </w:r>
      <w:r>
        <w:rPr>
          <w:snapToGrid w:val="0"/>
        </w:rPr>
        <w:t xml:space="preserve"> it makes more sense for UE to reuse the information from CD-SSB as much as possible (UE detected the CD-SSB during the cell accessing), therefore it would be reasonable to assume the SCS of NCD-SSB as same as CD-SSB.</w:t>
      </w:r>
      <w:r w:rsidR="00C92C82">
        <w:rPr>
          <w:snapToGrid w:val="0"/>
        </w:rPr>
        <w:t xml:space="preserve"> However, if network would like to configure different SCS of NCD-SSB from CD-SSB, network shall let UE know that.</w:t>
      </w:r>
    </w:p>
    <w:p w14:paraId="70697FB9" w14:textId="07A759AD" w:rsidR="00C92C82" w:rsidRDefault="00C92C82" w:rsidP="00E860BA">
      <w:pPr>
        <w:tabs>
          <w:tab w:val="left" w:pos="990"/>
        </w:tabs>
        <w:jc w:val="both"/>
        <w:rPr>
          <w:b/>
          <w:bCs/>
          <w:i/>
          <w:iCs/>
          <w:snapToGrid w:val="0"/>
        </w:rPr>
      </w:pPr>
      <w:r w:rsidRPr="00C92C82">
        <w:rPr>
          <w:b/>
          <w:bCs/>
          <w:i/>
          <w:iCs/>
          <w:snapToGrid w:val="0"/>
        </w:rPr>
        <w:t>Proposal 4:</w:t>
      </w:r>
      <w:r>
        <w:rPr>
          <w:b/>
          <w:bCs/>
          <w:i/>
          <w:iCs/>
          <w:snapToGrid w:val="0"/>
        </w:rPr>
        <w:t xml:space="preserve"> </w:t>
      </w:r>
      <w:r w:rsidR="00B6546F">
        <w:rPr>
          <w:b/>
          <w:bCs/>
          <w:i/>
          <w:iCs/>
          <w:snapToGrid w:val="0"/>
        </w:rPr>
        <w:t>UE by-default</w:t>
      </w:r>
      <w:r>
        <w:rPr>
          <w:b/>
          <w:bCs/>
          <w:i/>
          <w:iCs/>
          <w:snapToGrid w:val="0"/>
        </w:rPr>
        <w:t xml:space="preserve"> to assume NCD-SSB has the same SCS as the CD-SSB of the same serving cell. </w:t>
      </w:r>
      <w:r w:rsidR="00B6546F">
        <w:rPr>
          <w:b/>
          <w:bCs/>
          <w:i/>
          <w:iCs/>
          <w:snapToGrid w:val="0"/>
        </w:rPr>
        <w:t>However, i</w:t>
      </w:r>
      <w:r>
        <w:rPr>
          <w:b/>
          <w:bCs/>
          <w:i/>
          <w:iCs/>
          <w:snapToGrid w:val="0"/>
        </w:rPr>
        <w:t xml:space="preserve">f SCS is different between NCD-SSB and CD-SSB of the same serving cell, </w:t>
      </w:r>
      <w:r w:rsidR="00B6546F" w:rsidRPr="00B6546F">
        <w:rPr>
          <w:b/>
          <w:bCs/>
          <w:i/>
          <w:iCs/>
          <w:snapToGrid w:val="0"/>
        </w:rPr>
        <w:t>UE needs to be informed</w:t>
      </w:r>
      <w:r>
        <w:rPr>
          <w:b/>
          <w:bCs/>
          <w:i/>
          <w:iCs/>
          <w:snapToGrid w:val="0"/>
        </w:rPr>
        <w:t>.</w:t>
      </w:r>
    </w:p>
    <w:p w14:paraId="3A27E60A" w14:textId="569E07A8" w:rsidR="00B6546F" w:rsidRDefault="00C02C02" w:rsidP="00E860BA">
      <w:pPr>
        <w:tabs>
          <w:tab w:val="left" w:pos="990"/>
        </w:tabs>
        <w:jc w:val="both"/>
        <w:rPr>
          <w:snapToGrid w:val="0"/>
        </w:rPr>
      </w:pPr>
      <w:r w:rsidRPr="00C02C02">
        <w:rPr>
          <w:snapToGrid w:val="0"/>
        </w:rPr>
        <w:t>Regarding the neighbor cell MO</w:t>
      </w:r>
      <w:r>
        <w:rPr>
          <w:snapToGrid w:val="0"/>
        </w:rPr>
        <w:t>, RAN2 had following replies,</w:t>
      </w:r>
    </w:p>
    <w:tbl>
      <w:tblPr>
        <w:tblStyle w:val="TableGrid"/>
        <w:tblW w:w="0" w:type="auto"/>
        <w:tblLook w:val="04A0" w:firstRow="1" w:lastRow="0" w:firstColumn="1" w:lastColumn="0" w:noHBand="0" w:noVBand="1"/>
      </w:tblPr>
      <w:tblGrid>
        <w:gridCol w:w="9629"/>
      </w:tblGrid>
      <w:tr w:rsidR="00C02C02" w14:paraId="3E45D1E6" w14:textId="77777777" w:rsidTr="00C02C02">
        <w:tc>
          <w:tcPr>
            <w:tcW w:w="9629" w:type="dxa"/>
          </w:tcPr>
          <w:p w14:paraId="17922838" w14:textId="77777777" w:rsidR="00C02C02" w:rsidRPr="00EA5050" w:rsidRDefault="00C02C02" w:rsidP="00C02C02">
            <w:pPr>
              <w:ind w:left="360"/>
              <w:rPr>
                <w:rFonts w:ascii="Arial" w:hAnsi="Arial" w:cs="Arial"/>
                <w:bCs/>
                <w:color w:val="000000"/>
                <w:sz w:val="20"/>
                <w:szCs w:val="20"/>
                <w:lang w:val="en-GB" w:eastAsia="ko-KR"/>
              </w:rPr>
            </w:pPr>
            <w:r w:rsidRPr="00C02C02">
              <w:rPr>
                <w:rFonts w:ascii="Arial" w:hAnsi="Arial" w:cs="Arial"/>
                <w:bCs/>
                <w:color w:val="000000"/>
                <w:sz w:val="20"/>
                <w:szCs w:val="20"/>
                <w:highlight w:val="green"/>
                <w:lang w:val="en-GB" w:eastAsia="ko-KR"/>
              </w:rPr>
              <w:t>In connected mode, current RRC signalling allows configuring SSB-based RRM measurements on any (CD or NCD) SSB.</w:t>
            </w:r>
            <w:r w:rsidRPr="00EA5050">
              <w:rPr>
                <w:rFonts w:ascii="Arial" w:hAnsi="Arial" w:cs="Arial"/>
                <w:bCs/>
                <w:color w:val="000000"/>
                <w:sz w:val="20"/>
                <w:szCs w:val="20"/>
                <w:lang w:val="en-GB" w:eastAsia="ko-KR"/>
              </w:rPr>
              <w:t xml:space="preserve"> For RLM, BFD, link recovery, RO selection, mobility, i.e., </w:t>
            </w:r>
            <w:proofErr w:type="gramStart"/>
            <w:r w:rsidRPr="00EA5050">
              <w:rPr>
                <w:rFonts w:ascii="Arial" w:hAnsi="Arial" w:cs="Arial"/>
                <w:bCs/>
                <w:color w:val="000000"/>
                <w:sz w:val="20"/>
                <w:szCs w:val="20"/>
                <w:lang w:val="en-GB" w:eastAsia="ko-KR"/>
              </w:rPr>
              <w:t>assuming that</w:t>
            </w:r>
            <w:proofErr w:type="gramEnd"/>
            <w:r w:rsidRPr="00EA5050">
              <w:rPr>
                <w:rFonts w:ascii="Arial" w:hAnsi="Arial" w:cs="Arial"/>
                <w:bCs/>
                <w:color w:val="000000"/>
                <w:sz w:val="20"/>
                <w:szCs w:val="20"/>
                <w:lang w:val="en-GB" w:eastAsia="ko-KR"/>
              </w:rPr>
              <w:t xml:space="preserve"> here “mobility” refers to the frequency indicated in </w:t>
            </w:r>
            <w:r w:rsidRPr="009E2A42">
              <w:rPr>
                <w:rFonts w:ascii="Arial" w:hAnsi="Arial" w:cs="Arial"/>
                <w:bCs/>
                <w:i/>
                <w:iCs/>
                <w:color w:val="000000"/>
                <w:sz w:val="20"/>
                <w:szCs w:val="20"/>
                <w:lang w:val="en-GB" w:eastAsia="ko-KR"/>
              </w:rPr>
              <w:t>Freq</w:t>
            </w:r>
            <w:r>
              <w:rPr>
                <w:rFonts w:ascii="Arial" w:hAnsi="Arial" w:cs="Arial"/>
                <w:bCs/>
                <w:i/>
                <w:iCs/>
                <w:color w:val="000000"/>
                <w:sz w:val="20"/>
                <w:szCs w:val="20"/>
                <w:lang w:val="en-GB" w:eastAsia="ko-KR"/>
              </w:rPr>
              <w:t>uencyInfo</w:t>
            </w:r>
            <w:r w:rsidRPr="009E2A42">
              <w:rPr>
                <w:rFonts w:ascii="Arial" w:hAnsi="Arial" w:cs="Arial"/>
                <w:bCs/>
                <w:i/>
                <w:iCs/>
                <w:color w:val="000000"/>
                <w:sz w:val="20"/>
                <w:szCs w:val="20"/>
                <w:lang w:val="en-GB" w:eastAsia="ko-KR"/>
              </w:rPr>
              <w:t>DL</w:t>
            </w:r>
            <w:r w:rsidRPr="00EA5050">
              <w:rPr>
                <w:rFonts w:ascii="Arial" w:hAnsi="Arial" w:cs="Arial"/>
                <w:bCs/>
                <w:color w:val="000000"/>
                <w:sz w:val="20"/>
                <w:szCs w:val="20"/>
                <w:lang w:val="en-GB" w:eastAsia="ko-KR"/>
              </w:rPr>
              <w:t xml:space="preserve"> in HO command, in TCI-states or for any other functionality (other than RRM measurements), current RRC signalling does not use NCD-SSB, </w:t>
            </w:r>
            <w:r w:rsidRPr="00C02C02">
              <w:rPr>
                <w:rFonts w:ascii="Arial" w:hAnsi="Arial" w:cs="Arial"/>
                <w:bCs/>
                <w:color w:val="000000"/>
                <w:sz w:val="20"/>
                <w:szCs w:val="20"/>
                <w:highlight w:val="green"/>
                <w:lang w:val="en-GB" w:eastAsia="ko-KR"/>
              </w:rPr>
              <w:t>however from signalling standpoint it would be feasible to inform the UE about an NCD-SSB which it shall use instead of the CD-SSB.</w:t>
            </w:r>
          </w:p>
          <w:p w14:paraId="5D1DA0A4" w14:textId="77777777" w:rsidR="00C02C02" w:rsidRPr="00EA5050" w:rsidRDefault="00C02C02" w:rsidP="00C02C02">
            <w:pPr>
              <w:ind w:left="360"/>
              <w:rPr>
                <w:rFonts w:ascii="Arial" w:hAnsi="Arial" w:cs="Arial"/>
                <w:bCs/>
                <w:color w:val="000000"/>
                <w:sz w:val="20"/>
                <w:szCs w:val="20"/>
                <w:lang w:val="en-GB" w:eastAsia="ko-KR"/>
              </w:rPr>
            </w:pPr>
            <w:r w:rsidRPr="00C02C02">
              <w:rPr>
                <w:rFonts w:ascii="Arial" w:hAnsi="Arial" w:cs="Arial"/>
                <w:bCs/>
                <w:color w:val="000000"/>
                <w:sz w:val="20"/>
                <w:szCs w:val="20"/>
                <w:highlight w:val="green"/>
                <w:lang w:val="en-GB" w:eastAsia="ko-KR"/>
              </w:rPr>
              <w:t>In idle/inactive mode it would be feasible to inform UEs about an NCD-SSB from signalling standpoint.</w:t>
            </w:r>
            <w:r w:rsidRPr="00EA5050">
              <w:rPr>
                <w:rFonts w:ascii="Arial" w:hAnsi="Arial" w:cs="Arial"/>
                <w:bCs/>
                <w:color w:val="000000"/>
                <w:sz w:val="20"/>
                <w:szCs w:val="20"/>
                <w:lang w:val="en-GB" w:eastAsia="ko-KR"/>
              </w:rPr>
              <w:t xml:space="preserve"> The concept of non-cell-defining SSB (NCD-SSB) and the corresponding procedures, i.e., measurements, cell (re-)selection, </w:t>
            </w:r>
            <w:r w:rsidRPr="00C02C02">
              <w:rPr>
                <w:rFonts w:ascii="Arial" w:hAnsi="Arial" w:cs="Arial"/>
                <w:bCs/>
                <w:color w:val="000000"/>
                <w:sz w:val="20"/>
                <w:szCs w:val="20"/>
                <w:lang w:val="en-GB" w:eastAsia="ko-KR"/>
              </w:rPr>
              <w:t>do not exist in the current RAN2 specifications and using NCD-SSB for measurements and cell (re-)selection would still require the UE to re-tune to the CORESET#0 for reading SIBs.</w:t>
            </w:r>
          </w:p>
          <w:p w14:paraId="16365ACB" w14:textId="6CFA8833" w:rsidR="00C02C02" w:rsidRPr="00C02C02" w:rsidRDefault="00C02C02" w:rsidP="00C02C02">
            <w:pPr>
              <w:ind w:left="360"/>
              <w:rPr>
                <w:rFonts w:ascii="Arial" w:hAnsi="Arial" w:cs="Arial"/>
                <w:b/>
                <w:color w:val="000000"/>
                <w:sz w:val="20"/>
                <w:szCs w:val="20"/>
                <w:lang w:val="en-GB" w:eastAsia="ko-KR"/>
              </w:rPr>
            </w:pPr>
            <w:r w:rsidRPr="00EA5050">
              <w:rPr>
                <w:rFonts w:ascii="Arial" w:hAnsi="Arial" w:cs="Arial"/>
                <w:bCs/>
                <w:color w:val="000000"/>
                <w:sz w:val="20"/>
                <w:szCs w:val="20"/>
                <w:lang w:val="en-GB" w:eastAsia="ko-KR"/>
              </w:rPr>
              <w:t>RAN2 has different views on whether impact on specifications due to using NCD-SSB instead of CD-SSB for serving and non-serving cell measurements for idle/inactive mode, would be substantial or not and could not conclude the discussion due to limited time.</w:t>
            </w:r>
          </w:p>
        </w:tc>
      </w:tr>
    </w:tbl>
    <w:p w14:paraId="0798AB5A" w14:textId="42DA9D1F" w:rsidR="00C02C02" w:rsidRDefault="00C02C02" w:rsidP="00E860BA">
      <w:pPr>
        <w:tabs>
          <w:tab w:val="left" w:pos="990"/>
        </w:tabs>
        <w:jc w:val="both"/>
        <w:rPr>
          <w:snapToGrid w:val="0"/>
        </w:rPr>
      </w:pPr>
      <w:r>
        <w:rPr>
          <w:snapToGrid w:val="0"/>
        </w:rPr>
        <w:t>For intra-frequency measurement object, we think placing neighbor cell NCD-SSB colliding with serving cell NCD-SSB</w:t>
      </w:r>
      <w:r w:rsidR="00F1776B">
        <w:rPr>
          <w:snapToGrid w:val="0"/>
        </w:rPr>
        <w:t xml:space="preserve"> (they have same SCS)</w:t>
      </w:r>
      <w:r w:rsidR="00270B47">
        <w:rPr>
          <w:snapToGrid w:val="0"/>
        </w:rPr>
        <w:t xml:space="preserve"> would benefit both UE and network since MG (RF tuning/retuning) is not needed. </w:t>
      </w:r>
      <w:r w:rsidR="00F1776B">
        <w:rPr>
          <w:snapToGrid w:val="0"/>
        </w:rPr>
        <w:t xml:space="preserve">If different SCS is used for </w:t>
      </w:r>
      <w:r w:rsidR="00F1776B" w:rsidRPr="00F1776B">
        <w:rPr>
          <w:snapToGrid w:val="0"/>
        </w:rPr>
        <w:t xml:space="preserve">neighbor cell’s NCD SSB </w:t>
      </w:r>
      <w:r w:rsidR="00F1776B">
        <w:rPr>
          <w:snapToGrid w:val="0"/>
        </w:rPr>
        <w:t>and</w:t>
      </w:r>
      <w:r w:rsidR="00F1776B" w:rsidRPr="00F1776B">
        <w:rPr>
          <w:snapToGrid w:val="0"/>
        </w:rPr>
        <w:t xml:space="preserve"> serving </w:t>
      </w:r>
      <w:r w:rsidR="00F1776B" w:rsidRPr="00F1776B">
        <w:rPr>
          <w:snapToGrid w:val="0"/>
        </w:rPr>
        <w:lastRenderedPageBreak/>
        <w:t>cell’s NCD-SSB</w:t>
      </w:r>
      <w:r w:rsidR="00F1776B">
        <w:rPr>
          <w:snapToGrid w:val="0"/>
        </w:rPr>
        <w:t xml:space="preserve">, it’s a kind of inter-frequency measurement and MG is needed. </w:t>
      </w:r>
      <w:r w:rsidR="00270B47">
        <w:rPr>
          <w:snapToGrid w:val="0"/>
        </w:rPr>
        <w:t xml:space="preserve">However, </w:t>
      </w:r>
      <w:r w:rsidR="00F1776B">
        <w:rPr>
          <w:snapToGrid w:val="0"/>
        </w:rPr>
        <w:t>it</w:t>
      </w:r>
      <w:r w:rsidR="00270B47">
        <w:rPr>
          <w:snapToGrid w:val="0"/>
        </w:rPr>
        <w:t xml:space="preserve"> also requires network to provide the NCD-SSB information (frequency/SCS information) to UE for neighbor cell detection/measurement. If network could not provide such information of neighbor cell’s NCD-SSB to UE, UE can only detect the CD-SSB of neighbor cell with the legacy mechanism and UE is not required to read SIB to figure out the neighbor cell NCD-SSB by itself.</w:t>
      </w:r>
    </w:p>
    <w:p w14:paraId="670B5D43" w14:textId="4F2FEB53" w:rsidR="00270B47" w:rsidRDefault="00270B47" w:rsidP="00270B47">
      <w:pPr>
        <w:tabs>
          <w:tab w:val="left" w:pos="990"/>
        </w:tabs>
        <w:jc w:val="both"/>
        <w:rPr>
          <w:b/>
          <w:bCs/>
          <w:i/>
          <w:iCs/>
          <w:snapToGrid w:val="0"/>
        </w:rPr>
      </w:pPr>
      <w:r w:rsidRPr="00C92C82">
        <w:rPr>
          <w:b/>
          <w:bCs/>
          <w:i/>
          <w:iCs/>
          <w:snapToGrid w:val="0"/>
        </w:rPr>
        <w:t xml:space="preserve">Proposal </w:t>
      </w:r>
      <w:r>
        <w:rPr>
          <w:b/>
          <w:bCs/>
          <w:i/>
          <w:iCs/>
          <w:snapToGrid w:val="0"/>
        </w:rPr>
        <w:t>5</w:t>
      </w:r>
      <w:r w:rsidRPr="00C92C82">
        <w:rPr>
          <w:b/>
          <w:bCs/>
          <w:i/>
          <w:iCs/>
          <w:snapToGrid w:val="0"/>
        </w:rPr>
        <w:t>:</w:t>
      </w:r>
      <w:r>
        <w:rPr>
          <w:b/>
          <w:bCs/>
          <w:i/>
          <w:iCs/>
          <w:snapToGrid w:val="0"/>
        </w:rPr>
        <w:t xml:space="preserve"> </w:t>
      </w:r>
      <w:r w:rsidR="00CC54E9">
        <w:rPr>
          <w:b/>
          <w:bCs/>
          <w:i/>
          <w:iCs/>
          <w:snapToGrid w:val="0"/>
        </w:rPr>
        <w:t>R</w:t>
      </w:r>
      <w:r>
        <w:rPr>
          <w:b/>
          <w:bCs/>
          <w:i/>
          <w:iCs/>
          <w:snapToGrid w:val="0"/>
        </w:rPr>
        <w:t>ecommend to place neighbor cell’s NCD SSB</w:t>
      </w:r>
      <w:r w:rsidRPr="00270B47">
        <w:t xml:space="preserve"> </w:t>
      </w:r>
      <w:r w:rsidRPr="00270B47">
        <w:rPr>
          <w:b/>
          <w:bCs/>
          <w:i/>
          <w:iCs/>
          <w:snapToGrid w:val="0"/>
        </w:rPr>
        <w:t>collide with serving cell’</w:t>
      </w:r>
      <w:r>
        <w:rPr>
          <w:b/>
          <w:bCs/>
          <w:i/>
          <w:iCs/>
          <w:snapToGrid w:val="0"/>
        </w:rPr>
        <w:t>s</w:t>
      </w:r>
      <w:r w:rsidRPr="00270B47">
        <w:rPr>
          <w:b/>
          <w:bCs/>
          <w:i/>
          <w:iCs/>
          <w:snapToGrid w:val="0"/>
        </w:rPr>
        <w:t xml:space="preserve"> NCD-SSB</w:t>
      </w:r>
      <w:r>
        <w:rPr>
          <w:b/>
          <w:bCs/>
          <w:i/>
          <w:iCs/>
          <w:snapToGrid w:val="0"/>
        </w:rPr>
        <w:t xml:space="preserve"> on frequency domain</w:t>
      </w:r>
      <w:r w:rsidR="00F1776B">
        <w:rPr>
          <w:b/>
          <w:bCs/>
          <w:i/>
          <w:iCs/>
          <w:snapToGrid w:val="0"/>
        </w:rPr>
        <w:t xml:space="preserve"> if they share the same SCS</w:t>
      </w:r>
      <w:r>
        <w:rPr>
          <w:b/>
          <w:bCs/>
          <w:i/>
          <w:iCs/>
          <w:snapToGrid w:val="0"/>
        </w:rPr>
        <w:t>.</w:t>
      </w:r>
    </w:p>
    <w:p w14:paraId="0F55A4D0" w14:textId="2F43C38D" w:rsidR="00F1776B" w:rsidRDefault="00F1776B" w:rsidP="00270B47">
      <w:pPr>
        <w:tabs>
          <w:tab w:val="left" w:pos="990"/>
        </w:tabs>
        <w:jc w:val="both"/>
        <w:rPr>
          <w:b/>
          <w:bCs/>
          <w:i/>
          <w:iCs/>
          <w:snapToGrid w:val="0"/>
        </w:rPr>
      </w:pPr>
      <w:r>
        <w:rPr>
          <w:b/>
          <w:bCs/>
          <w:i/>
          <w:iCs/>
          <w:snapToGrid w:val="0"/>
        </w:rPr>
        <w:t>Proposal 6: The neighbor cell’s NCD</w:t>
      </w:r>
      <w:r w:rsidR="00CC54E9">
        <w:rPr>
          <w:b/>
          <w:bCs/>
          <w:i/>
          <w:iCs/>
          <w:snapToGrid w:val="0"/>
        </w:rPr>
        <w:t>-</w:t>
      </w:r>
      <w:r>
        <w:rPr>
          <w:b/>
          <w:bCs/>
          <w:i/>
          <w:iCs/>
          <w:snapToGrid w:val="0"/>
        </w:rPr>
        <w:t>SSB information (frequency/SCS) shall be provided to UE if UE is configured to perform cell identification/measurement on neighbor cell’s NCD</w:t>
      </w:r>
      <w:r w:rsidR="00CC54E9">
        <w:rPr>
          <w:b/>
          <w:bCs/>
          <w:i/>
          <w:iCs/>
          <w:snapToGrid w:val="0"/>
        </w:rPr>
        <w:t>-</w:t>
      </w:r>
      <w:r>
        <w:rPr>
          <w:b/>
          <w:bCs/>
          <w:i/>
          <w:iCs/>
          <w:snapToGrid w:val="0"/>
        </w:rPr>
        <w:t>SSB, i.e., UE is not required to read neighbor cell SIB</w:t>
      </w:r>
      <w:r w:rsidR="00CC54E9">
        <w:rPr>
          <w:b/>
          <w:bCs/>
          <w:i/>
          <w:iCs/>
          <w:snapToGrid w:val="0"/>
        </w:rPr>
        <w:t xml:space="preserve"> to figure out the neighbor cell’s NCD-SSB by itself.</w:t>
      </w:r>
    </w:p>
    <w:p w14:paraId="170C01CD" w14:textId="6E39AB93" w:rsidR="00CC54E9" w:rsidRDefault="00CC54E9" w:rsidP="00270B47">
      <w:pPr>
        <w:tabs>
          <w:tab w:val="left" w:pos="990"/>
        </w:tabs>
        <w:jc w:val="both"/>
        <w:rPr>
          <w:snapToGrid w:val="0"/>
        </w:rPr>
      </w:pPr>
      <w:r w:rsidRPr="00CC54E9">
        <w:rPr>
          <w:snapToGrid w:val="0"/>
        </w:rPr>
        <w:t>Based on the above discussion, if neighbor cell</w:t>
      </w:r>
      <w:r>
        <w:rPr>
          <w:snapToGrid w:val="0"/>
        </w:rPr>
        <w:t>’s</w:t>
      </w:r>
      <w:r w:rsidRPr="00CC54E9">
        <w:rPr>
          <w:snapToGrid w:val="0"/>
        </w:rPr>
        <w:t xml:space="preserve"> NCD-SSB measurement is </w:t>
      </w:r>
      <w:r>
        <w:rPr>
          <w:snapToGrid w:val="0"/>
        </w:rPr>
        <w:t>specified</w:t>
      </w:r>
      <w:r w:rsidRPr="00CC54E9">
        <w:rPr>
          <w:snapToGrid w:val="0"/>
        </w:rPr>
        <w:t>,</w:t>
      </w:r>
      <w:r>
        <w:rPr>
          <w:snapToGrid w:val="0"/>
        </w:rPr>
        <w:t xml:space="preserve"> RAN4 also needs to determine the definition of intra-frequency and inter-frequency measurement. Different </w:t>
      </w:r>
      <w:proofErr w:type="gramStart"/>
      <w:r>
        <w:rPr>
          <w:snapToGrid w:val="0"/>
        </w:rPr>
        <w:t>from legacy</w:t>
      </w:r>
      <w:r w:rsidR="00D33E72">
        <w:rPr>
          <w:snapToGrid w:val="0"/>
        </w:rPr>
        <w:t xml:space="preserve"> </w:t>
      </w:r>
      <w:r>
        <w:rPr>
          <w:snapToGrid w:val="0"/>
        </w:rPr>
        <w:t>case</w:t>
      </w:r>
      <w:r w:rsidR="00D33E72">
        <w:rPr>
          <w:snapToGrid w:val="0"/>
        </w:rPr>
        <w:t>s</w:t>
      </w:r>
      <w:r>
        <w:rPr>
          <w:snapToGrid w:val="0"/>
        </w:rPr>
        <w:t>,</w:t>
      </w:r>
      <w:proofErr w:type="gramEnd"/>
      <w:r>
        <w:rPr>
          <w:snapToGrid w:val="0"/>
        </w:rPr>
        <w:t xml:space="preserve"> to RedCap UE, there would be two kinds of SSBs from one target cell, and also its serving cell may also have two kinds of SSBs. There might be following scenarios:</w:t>
      </w:r>
    </w:p>
    <w:p w14:paraId="3624C4BB" w14:textId="1E980404" w:rsidR="00CC54E9" w:rsidRPr="00CC54E9" w:rsidRDefault="00CC54E9" w:rsidP="001D2D76">
      <w:pPr>
        <w:pStyle w:val="ListParagraph"/>
        <w:numPr>
          <w:ilvl w:val="3"/>
          <w:numId w:val="36"/>
        </w:numPr>
        <w:tabs>
          <w:tab w:val="left" w:pos="990"/>
        </w:tabs>
        <w:spacing w:line="240" w:lineRule="auto"/>
        <w:ind w:left="360" w:firstLineChars="0"/>
        <w:jc w:val="both"/>
        <w:rPr>
          <w:sz w:val="24"/>
          <w:szCs w:val="24"/>
        </w:rPr>
      </w:pPr>
      <w:r>
        <w:rPr>
          <w:sz w:val="24"/>
          <w:szCs w:val="24"/>
          <w:lang w:val="en-US"/>
        </w:rPr>
        <w:t>S</w:t>
      </w:r>
      <w:r w:rsidRPr="00CC54E9">
        <w:rPr>
          <w:sz w:val="24"/>
          <w:szCs w:val="24"/>
        </w:rPr>
        <w:t>erving cell CD-SSB has same SCS and center-frequency as neighbor cell CD-SSB (legacy intra-frequency)</w:t>
      </w:r>
    </w:p>
    <w:p w14:paraId="4148049E" w14:textId="108AFF93" w:rsidR="00CC54E9" w:rsidRPr="00CC54E9" w:rsidRDefault="00CC54E9" w:rsidP="001D2D76">
      <w:pPr>
        <w:pStyle w:val="ListParagraph"/>
        <w:numPr>
          <w:ilvl w:val="3"/>
          <w:numId w:val="36"/>
        </w:numPr>
        <w:tabs>
          <w:tab w:val="left" w:pos="990"/>
        </w:tabs>
        <w:spacing w:line="240" w:lineRule="auto"/>
        <w:ind w:left="360" w:firstLineChars="0"/>
        <w:jc w:val="both"/>
        <w:rPr>
          <w:sz w:val="24"/>
          <w:szCs w:val="24"/>
        </w:rPr>
      </w:pPr>
      <w:r>
        <w:rPr>
          <w:sz w:val="24"/>
          <w:szCs w:val="24"/>
          <w:lang w:val="en-US"/>
        </w:rPr>
        <w:t>S</w:t>
      </w:r>
      <w:r w:rsidRPr="00CC54E9">
        <w:rPr>
          <w:sz w:val="24"/>
          <w:szCs w:val="24"/>
        </w:rPr>
        <w:t xml:space="preserve">erving cell </w:t>
      </w:r>
      <w:r>
        <w:rPr>
          <w:sz w:val="24"/>
          <w:szCs w:val="24"/>
          <w:lang w:val="en-US"/>
        </w:rPr>
        <w:t>N</w:t>
      </w:r>
      <w:r w:rsidRPr="00CC54E9">
        <w:rPr>
          <w:sz w:val="24"/>
          <w:szCs w:val="24"/>
        </w:rPr>
        <w:t>CD-SSB has same SCS and center-frequency as neighbor cell CD-SSB (</w:t>
      </w:r>
      <w:r>
        <w:rPr>
          <w:sz w:val="24"/>
          <w:szCs w:val="24"/>
          <w:lang w:val="en-US"/>
        </w:rPr>
        <w:t xml:space="preserve">intra-frequency for </w:t>
      </w:r>
      <w:r w:rsidR="00D33E72">
        <w:rPr>
          <w:sz w:val="24"/>
          <w:szCs w:val="24"/>
          <w:lang w:val="en-US"/>
        </w:rPr>
        <w:t>neighbor cell CD-SSB measurement</w:t>
      </w:r>
      <w:r w:rsidRPr="00CC54E9">
        <w:rPr>
          <w:sz w:val="24"/>
          <w:szCs w:val="24"/>
        </w:rPr>
        <w:t>)</w:t>
      </w:r>
    </w:p>
    <w:p w14:paraId="5D31FE04" w14:textId="6D267166" w:rsidR="00CC54E9" w:rsidRPr="00CC54E9" w:rsidRDefault="00CC54E9" w:rsidP="001D2D76">
      <w:pPr>
        <w:pStyle w:val="ListParagraph"/>
        <w:numPr>
          <w:ilvl w:val="3"/>
          <w:numId w:val="36"/>
        </w:numPr>
        <w:tabs>
          <w:tab w:val="left" w:pos="990"/>
        </w:tabs>
        <w:spacing w:line="240" w:lineRule="auto"/>
        <w:ind w:left="360" w:firstLineChars="0"/>
        <w:jc w:val="both"/>
        <w:rPr>
          <w:sz w:val="24"/>
          <w:szCs w:val="24"/>
        </w:rPr>
      </w:pPr>
      <w:r>
        <w:rPr>
          <w:sz w:val="24"/>
          <w:szCs w:val="24"/>
          <w:lang w:val="en-US"/>
        </w:rPr>
        <w:t>S</w:t>
      </w:r>
      <w:r w:rsidRPr="00CC54E9">
        <w:rPr>
          <w:sz w:val="24"/>
          <w:szCs w:val="24"/>
        </w:rPr>
        <w:t xml:space="preserve">erving cell CD-SSB has same SCS and center-frequency as neighbor cell </w:t>
      </w:r>
      <w:r>
        <w:rPr>
          <w:sz w:val="24"/>
          <w:szCs w:val="24"/>
          <w:lang w:val="en-US"/>
        </w:rPr>
        <w:t>N</w:t>
      </w:r>
      <w:r w:rsidRPr="00CC54E9">
        <w:rPr>
          <w:sz w:val="24"/>
          <w:szCs w:val="24"/>
        </w:rPr>
        <w:t>CD-SSB (</w:t>
      </w:r>
      <w:r w:rsidR="00D33E72">
        <w:rPr>
          <w:sz w:val="24"/>
          <w:szCs w:val="24"/>
          <w:lang w:val="en-US"/>
        </w:rPr>
        <w:t>intra-frequency for neighbor cell NCD-SSB measurement</w:t>
      </w:r>
      <w:r w:rsidRPr="00CC54E9">
        <w:rPr>
          <w:sz w:val="24"/>
          <w:szCs w:val="24"/>
        </w:rPr>
        <w:t>)</w:t>
      </w:r>
    </w:p>
    <w:p w14:paraId="0A113BB3" w14:textId="32B44F48" w:rsidR="00CC54E9" w:rsidRDefault="00D33E72" w:rsidP="001D2D76">
      <w:pPr>
        <w:pStyle w:val="ListParagraph"/>
        <w:numPr>
          <w:ilvl w:val="3"/>
          <w:numId w:val="36"/>
        </w:numPr>
        <w:tabs>
          <w:tab w:val="left" w:pos="990"/>
        </w:tabs>
        <w:spacing w:line="240" w:lineRule="auto"/>
        <w:ind w:left="360" w:firstLineChars="0"/>
        <w:jc w:val="both"/>
        <w:rPr>
          <w:sz w:val="24"/>
          <w:szCs w:val="24"/>
        </w:rPr>
      </w:pPr>
      <w:r>
        <w:rPr>
          <w:sz w:val="24"/>
          <w:szCs w:val="24"/>
          <w:lang w:val="en-US"/>
        </w:rPr>
        <w:t>S</w:t>
      </w:r>
      <w:r w:rsidRPr="00CC54E9">
        <w:rPr>
          <w:sz w:val="24"/>
          <w:szCs w:val="24"/>
        </w:rPr>
        <w:t xml:space="preserve">erving cell </w:t>
      </w:r>
      <w:r>
        <w:rPr>
          <w:sz w:val="24"/>
          <w:szCs w:val="24"/>
          <w:lang w:val="en-US"/>
        </w:rPr>
        <w:t>N</w:t>
      </w:r>
      <w:r w:rsidRPr="00CC54E9">
        <w:rPr>
          <w:sz w:val="24"/>
          <w:szCs w:val="24"/>
        </w:rPr>
        <w:t xml:space="preserve">CD-SSB has same SCS and center-frequency as neighbor cell </w:t>
      </w:r>
      <w:r>
        <w:rPr>
          <w:sz w:val="24"/>
          <w:szCs w:val="24"/>
          <w:lang w:val="en-US"/>
        </w:rPr>
        <w:t>N</w:t>
      </w:r>
      <w:r w:rsidRPr="00CC54E9">
        <w:rPr>
          <w:sz w:val="24"/>
          <w:szCs w:val="24"/>
        </w:rPr>
        <w:t>CD-SSB (</w:t>
      </w:r>
      <w:r>
        <w:rPr>
          <w:sz w:val="24"/>
          <w:szCs w:val="24"/>
          <w:lang w:val="en-US"/>
        </w:rPr>
        <w:t>intra-frequency for neighbor cell NCD-SSB measurement</w:t>
      </w:r>
      <w:r w:rsidRPr="00CC54E9">
        <w:rPr>
          <w:sz w:val="24"/>
          <w:szCs w:val="24"/>
        </w:rPr>
        <w:t>)</w:t>
      </w:r>
    </w:p>
    <w:p w14:paraId="4A525B1E" w14:textId="194A076F" w:rsidR="00D33E72" w:rsidRDefault="00D33E72" w:rsidP="00D33E72">
      <w:pPr>
        <w:tabs>
          <w:tab w:val="left" w:pos="990"/>
        </w:tabs>
        <w:jc w:val="both"/>
        <w:rPr>
          <w:snapToGrid w:val="0"/>
        </w:rPr>
      </w:pPr>
      <w:r>
        <w:rPr>
          <w:snapToGrid w:val="0"/>
        </w:rPr>
        <w:t>For RedCap UE supporting NCD-SSB measurement, a</w:t>
      </w:r>
      <w:r w:rsidRPr="00D33E72">
        <w:rPr>
          <w:snapToGrid w:val="0"/>
        </w:rPr>
        <w:t xml:space="preserve"> measurement is defined as a SSB based intra-frequency measurement provided the centre frequency of the </w:t>
      </w:r>
      <w:r>
        <w:rPr>
          <w:snapToGrid w:val="0"/>
        </w:rPr>
        <w:t>CD-SSB or NCD-</w:t>
      </w:r>
      <w:r w:rsidRPr="00D33E72">
        <w:rPr>
          <w:snapToGrid w:val="0"/>
        </w:rPr>
        <w:t>SSB of the serving cell indicated for measurement and the centre frequency of the</w:t>
      </w:r>
      <w:r>
        <w:rPr>
          <w:snapToGrid w:val="0"/>
        </w:rPr>
        <w:t xml:space="preserve"> target </w:t>
      </w:r>
      <w:r w:rsidRPr="00D33E72">
        <w:rPr>
          <w:snapToGrid w:val="0"/>
        </w:rPr>
        <w:t>SSB of the neighbour cell indicated for measurement are the same, and the subcarrier spacing of the two SSBs are also the same.</w:t>
      </w:r>
    </w:p>
    <w:p w14:paraId="3C69C573" w14:textId="6213DB4F" w:rsidR="005E2741" w:rsidRDefault="005E2741" w:rsidP="005E2741">
      <w:pPr>
        <w:tabs>
          <w:tab w:val="left" w:pos="990"/>
        </w:tabs>
        <w:jc w:val="both"/>
        <w:rPr>
          <w:b/>
          <w:bCs/>
          <w:i/>
          <w:iCs/>
          <w:snapToGrid w:val="0"/>
        </w:rPr>
      </w:pPr>
      <w:r w:rsidRPr="005E2741">
        <w:rPr>
          <w:b/>
          <w:bCs/>
          <w:i/>
          <w:iCs/>
          <w:snapToGrid w:val="0"/>
        </w:rPr>
        <w:t>Proposal 7: For RedCap UE supporting NCD-SSB measurement, a measurement is defined as a SSB based intra-frequency measurement provided the centre frequency of the CD-SSB or NCD-SSB of the serving cell indicated for measurement and the centre frequency of the target SSB of the neighbour cell indicated for measurement are the same, and the subcarrier spacing of the two SSBs are also the same.</w:t>
      </w:r>
    </w:p>
    <w:p w14:paraId="7B083EDE" w14:textId="1E66FAD8" w:rsidR="00DA2B32" w:rsidRDefault="00DA2B32" w:rsidP="005E2741">
      <w:pPr>
        <w:tabs>
          <w:tab w:val="left" w:pos="990"/>
        </w:tabs>
        <w:jc w:val="both"/>
        <w:rPr>
          <w:snapToGrid w:val="0"/>
        </w:rPr>
      </w:pPr>
      <w:r w:rsidRPr="00DA2B32">
        <w:rPr>
          <w:snapToGrid w:val="0"/>
        </w:rPr>
        <w:t>If both CD-SSB and NCD-SSB measurements are configured to the UE</w:t>
      </w:r>
      <w:r>
        <w:rPr>
          <w:snapToGrid w:val="0"/>
        </w:rPr>
        <w:t>, UE needs to determine which one shall be taken rather than doing measurement on both. If MG is needed for both CD-SSB and NCD-SSB measurement, there is no benefit to use NCD-SSB to avoid RF tuning/retuning and therefore in this case UE could choose to use CD-SSB for measurement.</w:t>
      </w:r>
    </w:p>
    <w:p w14:paraId="6FB1E092" w14:textId="6F9AA1AA" w:rsidR="00DA2B32" w:rsidRPr="00DA2B32" w:rsidRDefault="00DA2B32" w:rsidP="005E2741">
      <w:pPr>
        <w:tabs>
          <w:tab w:val="left" w:pos="990"/>
        </w:tabs>
        <w:jc w:val="both"/>
        <w:rPr>
          <w:b/>
          <w:bCs/>
          <w:i/>
          <w:iCs/>
          <w:snapToGrid w:val="0"/>
        </w:rPr>
      </w:pPr>
      <w:r w:rsidRPr="00DA2B32">
        <w:rPr>
          <w:b/>
          <w:bCs/>
          <w:i/>
          <w:iCs/>
          <w:snapToGrid w:val="0"/>
        </w:rPr>
        <w:t xml:space="preserve">Proposal 8: if both CD-SSB and NCD-SSB measurement are configured </w:t>
      </w:r>
      <w:r w:rsidR="00A5411C">
        <w:rPr>
          <w:b/>
          <w:bCs/>
          <w:i/>
          <w:iCs/>
          <w:snapToGrid w:val="0"/>
        </w:rPr>
        <w:t>to RedCap UE but</w:t>
      </w:r>
      <w:r w:rsidRPr="00DA2B32">
        <w:rPr>
          <w:b/>
          <w:bCs/>
          <w:i/>
          <w:iCs/>
          <w:snapToGrid w:val="0"/>
        </w:rPr>
        <w:t xml:space="preserve"> </w:t>
      </w:r>
      <w:proofErr w:type="gramStart"/>
      <w:r w:rsidRPr="00DA2B32">
        <w:rPr>
          <w:b/>
          <w:bCs/>
          <w:i/>
          <w:iCs/>
          <w:snapToGrid w:val="0"/>
        </w:rPr>
        <w:t>both of them</w:t>
      </w:r>
      <w:proofErr w:type="gramEnd"/>
      <w:r w:rsidRPr="00DA2B32">
        <w:rPr>
          <w:b/>
          <w:bCs/>
          <w:i/>
          <w:iCs/>
          <w:snapToGrid w:val="0"/>
        </w:rPr>
        <w:t xml:space="preserve"> need MG, UE could choose to perform CD-SSB measurement only.</w:t>
      </w:r>
    </w:p>
    <w:p w14:paraId="160DF10D" w14:textId="550520C4" w:rsidR="00A5411C" w:rsidRDefault="00A5411C" w:rsidP="00D33E72">
      <w:pPr>
        <w:tabs>
          <w:tab w:val="left" w:pos="990"/>
        </w:tabs>
        <w:jc w:val="both"/>
        <w:rPr>
          <w:snapToGrid w:val="0"/>
        </w:rPr>
      </w:pPr>
      <w:r>
        <w:rPr>
          <w:snapToGrid w:val="0"/>
        </w:rPr>
        <w:t>There are also other remaining issues in question 4 and 5, as followings:</w:t>
      </w:r>
    </w:p>
    <w:tbl>
      <w:tblPr>
        <w:tblStyle w:val="TableGrid"/>
        <w:tblW w:w="0" w:type="auto"/>
        <w:tblLook w:val="04A0" w:firstRow="1" w:lastRow="0" w:firstColumn="1" w:lastColumn="0" w:noHBand="0" w:noVBand="1"/>
      </w:tblPr>
      <w:tblGrid>
        <w:gridCol w:w="9629"/>
      </w:tblGrid>
      <w:tr w:rsidR="00A5411C" w14:paraId="2EC51DCB" w14:textId="77777777" w:rsidTr="00A5411C">
        <w:tc>
          <w:tcPr>
            <w:tcW w:w="9629" w:type="dxa"/>
          </w:tcPr>
          <w:p w14:paraId="5B14C54B" w14:textId="77777777" w:rsidR="00A5411C" w:rsidRPr="00A5411C" w:rsidRDefault="00A5411C" w:rsidP="00A5411C">
            <w:pPr>
              <w:spacing w:after="0"/>
              <w:rPr>
                <w:sz w:val="20"/>
                <w:szCs w:val="20"/>
              </w:rPr>
            </w:pPr>
            <w:r w:rsidRPr="00A5411C">
              <w:rPr>
                <w:sz w:val="20"/>
                <w:szCs w:val="20"/>
                <w:u w:val="single"/>
              </w:rPr>
              <w:t>Question 4: whether/when periodicities and/or TX power and/or block indexes (provided by ssb-PositionsInBurst in SIB1 or in ServingCellConfigCommon) and/or QCL sources of NCD-SSB can be same/different from those of CD-SSB, if both NCD-SSB and CD-SSB are transmitted on the serving cell of RedCap UE</w:t>
            </w:r>
          </w:p>
          <w:p w14:paraId="46E1B233" w14:textId="77777777" w:rsidR="00A5411C" w:rsidRPr="00A5411C" w:rsidRDefault="00A5411C" w:rsidP="00A5411C">
            <w:pPr>
              <w:spacing w:after="0"/>
              <w:rPr>
                <w:bCs/>
                <w:sz w:val="20"/>
                <w:szCs w:val="20"/>
              </w:rPr>
            </w:pPr>
            <w:r w:rsidRPr="00A5411C">
              <w:rPr>
                <w:rFonts w:hint="eastAsia"/>
                <w:bCs/>
                <w:sz w:val="20"/>
                <w:szCs w:val="20"/>
              </w:rPr>
              <w:lastRenderedPageBreak/>
              <w:t>FFS on SSB indexes</w:t>
            </w:r>
          </w:p>
          <w:p w14:paraId="5B7E3434" w14:textId="77777777" w:rsidR="00A5411C" w:rsidRPr="00A5411C" w:rsidRDefault="00A5411C" w:rsidP="00A5411C">
            <w:pPr>
              <w:spacing w:after="0"/>
              <w:rPr>
                <w:rFonts w:eastAsia="SimSun"/>
                <w:bCs/>
                <w:sz w:val="20"/>
                <w:szCs w:val="20"/>
              </w:rPr>
            </w:pPr>
            <w:r w:rsidRPr="00A5411C">
              <w:rPr>
                <w:rFonts w:hint="eastAsia"/>
                <w:bCs/>
                <w:sz w:val="20"/>
                <w:szCs w:val="20"/>
              </w:rPr>
              <w:t xml:space="preserve">Option 1: </w:t>
            </w:r>
            <w:r w:rsidRPr="00A5411C">
              <w:rPr>
                <w:bCs/>
                <w:sz w:val="20"/>
                <w:szCs w:val="20"/>
              </w:rPr>
              <w:t>SSB indexes of CD-SSB and NCD-SSB can be the same</w:t>
            </w:r>
            <w:r w:rsidRPr="00A5411C">
              <w:rPr>
                <w:rFonts w:eastAsia="SimSun" w:hint="eastAsia"/>
                <w:bCs/>
                <w:sz w:val="20"/>
                <w:szCs w:val="20"/>
              </w:rPr>
              <w:t>.</w:t>
            </w:r>
          </w:p>
          <w:p w14:paraId="5346FF67" w14:textId="34205967" w:rsidR="00A5411C" w:rsidRPr="00A5411C" w:rsidRDefault="00A5411C" w:rsidP="00A5411C">
            <w:pPr>
              <w:spacing w:after="0"/>
              <w:rPr>
                <w:rFonts w:eastAsia="SimSun"/>
                <w:bCs/>
                <w:sz w:val="20"/>
                <w:szCs w:val="20"/>
              </w:rPr>
            </w:pPr>
            <w:r w:rsidRPr="00A5411C">
              <w:rPr>
                <w:rFonts w:eastAsia="SimSun" w:hint="eastAsia"/>
                <w:bCs/>
                <w:sz w:val="20"/>
                <w:szCs w:val="20"/>
              </w:rPr>
              <w:t>Other options not precluded.</w:t>
            </w:r>
          </w:p>
          <w:p w14:paraId="65C0F579" w14:textId="77777777" w:rsidR="00A5411C" w:rsidRPr="00A5411C" w:rsidRDefault="00A5411C" w:rsidP="00A5411C">
            <w:pPr>
              <w:spacing w:after="0"/>
              <w:rPr>
                <w:bCs/>
                <w:sz w:val="20"/>
                <w:szCs w:val="20"/>
                <w:u w:val="single"/>
              </w:rPr>
            </w:pPr>
            <w:r w:rsidRPr="00A5411C">
              <w:rPr>
                <w:rFonts w:eastAsia="SimSun" w:hint="eastAsia"/>
                <w:bCs/>
                <w:sz w:val="20"/>
                <w:szCs w:val="20"/>
                <w:u w:val="single"/>
              </w:rPr>
              <w:t xml:space="preserve">Question 5 </w:t>
            </w:r>
            <w:r w:rsidRPr="00A5411C">
              <w:rPr>
                <w:bCs/>
                <w:sz w:val="20"/>
                <w:szCs w:val="20"/>
                <w:u w:val="single"/>
              </w:rPr>
              <w:t>[RAN2/4] whether it is necessary to introduce configuration limitations for NCD-SSB (e.g., regarding frequency locations, periodicity), e.g., to ensure coexistence with legacy UEs</w:t>
            </w:r>
          </w:p>
          <w:p w14:paraId="369601BE" w14:textId="77777777" w:rsidR="00A5411C" w:rsidRPr="00A5411C" w:rsidRDefault="00A5411C" w:rsidP="00A5411C">
            <w:pPr>
              <w:spacing w:after="0"/>
              <w:rPr>
                <w:bCs/>
                <w:sz w:val="20"/>
                <w:szCs w:val="20"/>
              </w:rPr>
            </w:pPr>
            <w:r w:rsidRPr="00A5411C">
              <w:rPr>
                <w:rFonts w:hint="eastAsia"/>
                <w:bCs/>
                <w:sz w:val="20"/>
                <w:szCs w:val="20"/>
              </w:rPr>
              <w:t>Option 1: No limitation for NCD-SSB is necessary, up to the network.</w:t>
            </w:r>
          </w:p>
          <w:p w14:paraId="33CDA73F" w14:textId="77777777" w:rsidR="00A5411C" w:rsidRPr="00A5411C" w:rsidRDefault="00A5411C" w:rsidP="00A5411C">
            <w:pPr>
              <w:spacing w:after="0"/>
              <w:rPr>
                <w:bCs/>
                <w:sz w:val="20"/>
                <w:szCs w:val="20"/>
              </w:rPr>
            </w:pPr>
            <w:r w:rsidRPr="00A5411C">
              <w:rPr>
                <w:rFonts w:hint="eastAsia"/>
                <w:bCs/>
                <w:sz w:val="20"/>
                <w:szCs w:val="20"/>
              </w:rPr>
              <w:t>Option 2: NCD-SSB should be configured off sync raster.</w:t>
            </w:r>
          </w:p>
          <w:p w14:paraId="7395F1D4" w14:textId="77777777" w:rsidR="00A5411C" w:rsidRPr="00A5411C" w:rsidRDefault="00A5411C" w:rsidP="00A5411C">
            <w:pPr>
              <w:spacing w:after="0"/>
              <w:rPr>
                <w:bCs/>
                <w:sz w:val="20"/>
                <w:szCs w:val="20"/>
              </w:rPr>
            </w:pPr>
            <w:r w:rsidRPr="00A5411C">
              <w:rPr>
                <w:rFonts w:hint="eastAsia"/>
                <w:bCs/>
                <w:sz w:val="20"/>
                <w:szCs w:val="20"/>
              </w:rPr>
              <w:t>Option 2a: NCD-SSB should be configured off sync raster and with the same subcarrier spacing, same PCI and same ssb-PositionsInBurst as the CD-SSB.</w:t>
            </w:r>
          </w:p>
          <w:p w14:paraId="5A6B38F7" w14:textId="77777777" w:rsidR="00A5411C" w:rsidRPr="00A5411C" w:rsidRDefault="00A5411C" w:rsidP="00A5411C">
            <w:pPr>
              <w:spacing w:after="0"/>
              <w:rPr>
                <w:bCs/>
                <w:sz w:val="20"/>
                <w:szCs w:val="20"/>
              </w:rPr>
            </w:pPr>
            <w:r w:rsidRPr="00A5411C">
              <w:rPr>
                <w:rFonts w:hint="eastAsia"/>
                <w:bCs/>
                <w:sz w:val="20"/>
                <w:szCs w:val="20"/>
              </w:rPr>
              <w:t>Option 3: The periodicity of NCD-SSB may be supposed to be longer than CD-SSB.</w:t>
            </w:r>
          </w:p>
          <w:p w14:paraId="5E754BBF" w14:textId="77777777" w:rsidR="00A5411C" w:rsidRPr="00A5411C" w:rsidRDefault="00A5411C" w:rsidP="00A5411C">
            <w:pPr>
              <w:spacing w:after="0"/>
              <w:rPr>
                <w:bCs/>
                <w:sz w:val="20"/>
                <w:szCs w:val="20"/>
              </w:rPr>
            </w:pPr>
            <w:r w:rsidRPr="00A5411C">
              <w:rPr>
                <w:rFonts w:hint="eastAsia"/>
                <w:bCs/>
                <w:sz w:val="20"/>
                <w:szCs w:val="20"/>
              </w:rPr>
              <w:t xml:space="preserve">Option 4: A good rule for it can be </w:t>
            </w:r>
            <w:proofErr w:type="gramStart"/>
            <w:r w:rsidRPr="00A5411C">
              <w:rPr>
                <w:rFonts w:hint="eastAsia"/>
                <w:bCs/>
                <w:sz w:val="20"/>
                <w:szCs w:val="20"/>
              </w:rPr>
              <w:t>max{</w:t>
            </w:r>
            <w:proofErr w:type="gramEnd"/>
            <w:r w:rsidRPr="00A5411C">
              <w:rPr>
                <w:rFonts w:hint="eastAsia"/>
                <w:bCs/>
                <w:sz w:val="20"/>
                <w:szCs w:val="20"/>
              </w:rPr>
              <w:t>20ms, periodicity of CD-SSB}.</w:t>
            </w:r>
          </w:p>
          <w:p w14:paraId="54E7CD6E" w14:textId="77777777" w:rsidR="00A5411C" w:rsidRPr="00A5411C" w:rsidRDefault="00A5411C" w:rsidP="00A5411C">
            <w:pPr>
              <w:spacing w:after="0"/>
              <w:rPr>
                <w:bCs/>
                <w:sz w:val="20"/>
                <w:szCs w:val="20"/>
              </w:rPr>
            </w:pPr>
            <w:r w:rsidRPr="00A5411C">
              <w:rPr>
                <w:rFonts w:hint="eastAsia"/>
                <w:bCs/>
                <w:sz w:val="20"/>
                <w:szCs w:val="20"/>
              </w:rPr>
              <w:t>Option 5: The carrier center frequency and SSB bandwidth (NCD-SSB and CD-SSB BW) are not overlapped.</w:t>
            </w:r>
          </w:p>
          <w:p w14:paraId="5BC0D624" w14:textId="77777777" w:rsidR="00A5411C" w:rsidRPr="00A5411C" w:rsidRDefault="00A5411C" w:rsidP="00A5411C">
            <w:pPr>
              <w:spacing w:after="0"/>
              <w:rPr>
                <w:bCs/>
                <w:sz w:val="20"/>
                <w:szCs w:val="20"/>
              </w:rPr>
            </w:pPr>
            <w:r w:rsidRPr="00A5411C">
              <w:rPr>
                <w:rFonts w:hint="eastAsia"/>
                <w:bCs/>
                <w:sz w:val="20"/>
                <w:szCs w:val="20"/>
              </w:rPr>
              <w:t>Option 6: If NCD-SSB is used for synchronization: a maximum period of 20 ms.</w:t>
            </w:r>
          </w:p>
          <w:p w14:paraId="0FE41379" w14:textId="77777777" w:rsidR="00A5411C" w:rsidRPr="00A5411C" w:rsidRDefault="00A5411C" w:rsidP="00A5411C">
            <w:pPr>
              <w:spacing w:after="0"/>
              <w:rPr>
                <w:bCs/>
                <w:sz w:val="20"/>
                <w:szCs w:val="20"/>
              </w:rPr>
            </w:pPr>
            <w:r w:rsidRPr="00A5411C">
              <w:rPr>
                <w:bCs/>
                <w:sz w:val="20"/>
                <w:szCs w:val="20"/>
              </w:rPr>
              <w:t>Option 7: To avoid peforming power boosting for NCD-SSBs and CD-SSB simultaneously for network, NCD-SSBs and CD-SSB can be transmitted in different half-frames</w:t>
            </w:r>
          </w:p>
          <w:p w14:paraId="38018E84" w14:textId="3A35919F" w:rsidR="00A5411C" w:rsidRPr="00A5411C" w:rsidRDefault="00A5411C" w:rsidP="00A5411C">
            <w:pPr>
              <w:spacing w:after="0"/>
              <w:rPr>
                <w:rFonts w:eastAsiaTheme="minorEastAsia"/>
                <w:bCs/>
                <w:sz w:val="22"/>
              </w:rPr>
            </w:pPr>
            <w:r w:rsidRPr="00A5411C">
              <w:rPr>
                <w:rFonts w:eastAsiaTheme="minorEastAsia"/>
                <w:bCs/>
                <w:sz w:val="20"/>
                <w:szCs w:val="20"/>
              </w:rPr>
              <w:t>O</w:t>
            </w:r>
            <w:r w:rsidRPr="00A5411C">
              <w:rPr>
                <w:rFonts w:eastAsiaTheme="minorEastAsia" w:hint="eastAsia"/>
                <w:bCs/>
                <w:sz w:val="20"/>
                <w:szCs w:val="20"/>
              </w:rPr>
              <w:t xml:space="preserve">ther </w:t>
            </w:r>
            <w:r w:rsidRPr="00A5411C">
              <w:rPr>
                <w:rFonts w:eastAsiaTheme="minorEastAsia"/>
                <w:bCs/>
                <w:sz w:val="20"/>
                <w:szCs w:val="20"/>
              </w:rPr>
              <w:t>options are not precluded.</w:t>
            </w:r>
          </w:p>
        </w:tc>
      </w:tr>
    </w:tbl>
    <w:p w14:paraId="480BF3E8" w14:textId="0556959C" w:rsidR="005E2741" w:rsidRDefault="00D722A2" w:rsidP="00D33E72">
      <w:pPr>
        <w:tabs>
          <w:tab w:val="left" w:pos="990"/>
        </w:tabs>
        <w:jc w:val="both"/>
        <w:rPr>
          <w:snapToGrid w:val="0"/>
        </w:rPr>
      </w:pPr>
      <w:r>
        <w:rPr>
          <w:snapToGrid w:val="0"/>
        </w:rPr>
        <w:lastRenderedPageBreak/>
        <w:t>Regarding the SSB index, we think the ideal case is NCD-SSB share</w:t>
      </w:r>
      <w:r w:rsidR="00F95928">
        <w:rPr>
          <w:snapToGrid w:val="0"/>
        </w:rPr>
        <w:t>s</w:t>
      </w:r>
      <w:r>
        <w:rPr>
          <w:snapToGrid w:val="0"/>
        </w:rPr>
        <w:t xml:space="preserve"> the same </w:t>
      </w:r>
      <w:r w:rsidRPr="00D722A2">
        <w:rPr>
          <w:snapToGrid w:val="0"/>
        </w:rPr>
        <w:t>ssb-PositionsInBurst</w:t>
      </w:r>
      <w:r>
        <w:rPr>
          <w:snapToGrid w:val="0"/>
        </w:rPr>
        <w:t xml:space="preserve"> as CD-SSB from the same serving cell, however, </w:t>
      </w:r>
      <w:proofErr w:type="gramStart"/>
      <w:r>
        <w:rPr>
          <w:snapToGrid w:val="0"/>
        </w:rPr>
        <w:t>in order to</w:t>
      </w:r>
      <w:proofErr w:type="gramEnd"/>
      <w:r>
        <w:rPr>
          <w:snapToGrid w:val="0"/>
        </w:rPr>
        <w:t xml:space="preserve"> consider the network implementation flexibility, we could also agree that NCD-SSB</w:t>
      </w:r>
      <w:r w:rsidR="00F95928">
        <w:rPr>
          <w:snapToGrid w:val="0"/>
        </w:rPr>
        <w:t xml:space="preserve"> transmission</w:t>
      </w:r>
      <w:r>
        <w:rPr>
          <w:snapToGrid w:val="0"/>
        </w:rPr>
        <w:t xml:space="preserve"> </w:t>
      </w:r>
      <w:r w:rsidR="00F95928">
        <w:rPr>
          <w:snapToGrid w:val="0"/>
        </w:rPr>
        <w:t>could be</w:t>
      </w:r>
      <w:r>
        <w:rPr>
          <w:snapToGrid w:val="0"/>
        </w:rPr>
        <w:t xml:space="preserve"> a subset of </w:t>
      </w:r>
      <w:r w:rsidRPr="00D722A2">
        <w:rPr>
          <w:snapToGrid w:val="0"/>
        </w:rPr>
        <w:t>ssb-PositionsInBurst</w:t>
      </w:r>
      <w:r>
        <w:rPr>
          <w:snapToGrid w:val="0"/>
        </w:rPr>
        <w:t xml:space="preserve"> of CD-SSB. Another reason to propose it </w:t>
      </w:r>
      <w:proofErr w:type="gramStart"/>
      <w:r>
        <w:rPr>
          <w:snapToGrid w:val="0"/>
        </w:rPr>
        <w:t>is:</w:t>
      </w:r>
      <w:proofErr w:type="gramEnd"/>
      <w:r>
        <w:rPr>
          <w:snapToGrid w:val="0"/>
        </w:rPr>
        <w:t xml:space="preserve"> normally, CD-SSB shall be a full set of timing/beam information of a cell compared with NCD-SSB.</w:t>
      </w:r>
      <w:r w:rsidR="00CF69CF">
        <w:rPr>
          <w:snapToGrid w:val="0"/>
        </w:rPr>
        <w:t xml:space="preserve"> </w:t>
      </w:r>
      <w:r w:rsidR="00F95928">
        <w:rPr>
          <w:snapToGrid w:val="0"/>
        </w:rPr>
        <w:t>RAN1 agreed that “</w:t>
      </w:r>
      <w:r w:rsidR="00F95928" w:rsidRPr="00C12F2C">
        <w:rPr>
          <w:bCs/>
        </w:rPr>
        <w:t>Periodicity of NCD-SSB shall be not less than periodicity of CD-SSB</w:t>
      </w:r>
      <w:r w:rsidR="00F95928">
        <w:rPr>
          <w:snapToGrid w:val="0"/>
        </w:rPr>
        <w:t>”, and here we could also define the NCD-SSB has the equivalent or less SSBs transmitted in such bitmap “</w:t>
      </w:r>
      <w:r w:rsidR="00F95928" w:rsidRPr="00D722A2">
        <w:rPr>
          <w:snapToGrid w:val="0"/>
        </w:rPr>
        <w:t>ssb-PositionsInBurst</w:t>
      </w:r>
      <w:r w:rsidR="00F95928">
        <w:rPr>
          <w:snapToGrid w:val="0"/>
        </w:rPr>
        <w:t>”.</w:t>
      </w:r>
    </w:p>
    <w:p w14:paraId="4F7EF98E" w14:textId="46F53CCC" w:rsidR="00F95928" w:rsidRPr="00DA2B32" w:rsidRDefault="00F95928" w:rsidP="00F95928">
      <w:pPr>
        <w:tabs>
          <w:tab w:val="left" w:pos="990"/>
        </w:tabs>
        <w:jc w:val="both"/>
        <w:rPr>
          <w:b/>
          <w:bCs/>
          <w:i/>
          <w:iCs/>
          <w:snapToGrid w:val="0"/>
        </w:rPr>
      </w:pPr>
      <w:r w:rsidRPr="00DA2B32">
        <w:rPr>
          <w:b/>
          <w:bCs/>
          <w:i/>
          <w:iCs/>
          <w:snapToGrid w:val="0"/>
        </w:rPr>
        <w:t xml:space="preserve">Proposal </w:t>
      </w:r>
      <w:r>
        <w:rPr>
          <w:b/>
          <w:bCs/>
          <w:i/>
          <w:iCs/>
          <w:snapToGrid w:val="0"/>
        </w:rPr>
        <w:t>9</w:t>
      </w:r>
      <w:r w:rsidRPr="00DA2B32">
        <w:rPr>
          <w:b/>
          <w:bCs/>
          <w:i/>
          <w:iCs/>
          <w:snapToGrid w:val="0"/>
        </w:rPr>
        <w:t xml:space="preserve">: </w:t>
      </w:r>
      <w:r w:rsidRPr="006A7F61">
        <w:rPr>
          <w:b/>
          <w:bCs/>
          <w:i/>
          <w:iCs/>
          <w:snapToGrid w:val="0"/>
        </w:rPr>
        <w:t xml:space="preserve">ssb-PositionsInBurst </w:t>
      </w:r>
      <w:r w:rsidR="006A7F61" w:rsidRPr="006A7F61">
        <w:rPr>
          <w:b/>
          <w:bCs/>
          <w:i/>
          <w:iCs/>
          <w:snapToGrid w:val="0"/>
        </w:rPr>
        <w:t>for</w:t>
      </w:r>
      <w:r w:rsidRPr="006A7F61">
        <w:rPr>
          <w:b/>
          <w:bCs/>
          <w:i/>
          <w:iCs/>
          <w:snapToGrid w:val="0"/>
        </w:rPr>
        <w:t xml:space="preserve"> NCD-SSB could be a </w:t>
      </w:r>
      <w:r w:rsidR="006A7F61" w:rsidRPr="006A7F61">
        <w:rPr>
          <w:b/>
          <w:bCs/>
          <w:i/>
          <w:iCs/>
          <w:snapToGrid w:val="0"/>
        </w:rPr>
        <w:t xml:space="preserve">subset or </w:t>
      </w:r>
      <w:r w:rsidR="007919DF">
        <w:rPr>
          <w:b/>
          <w:bCs/>
          <w:i/>
          <w:iCs/>
          <w:snapToGrid w:val="0"/>
        </w:rPr>
        <w:t>equal</w:t>
      </w:r>
      <w:r w:rsidR="007919DF" w:rsidRPr="006A7F61">
        <w:rPr>
          <w:b/>
          <w:bCs/>
          <w:i/>
          <w:iCs/>
          <w:snapToGrid w:val="0"/>
        </w:rPr>
        <w:t xml:space="preserve">-set </w:t>
      </w:r>
      <w:r w:rsidR="006A7F61" w:rsidRPr="006A7F61">
        <w:rPr>
          <w:b/>
          <w:bCs/>
          <w:i/>
          <w:iCs/>
          <w:snapToGrid w:val="0"/>
        </w:rPr>
        <w:t>of</w:t>
      </w:r>
      <w:r w:rsidRPr="006A7F61">
        <w:rPr>
          <w:b/>
          <w:bCs/>
          <w:i/>
          <w:iCs/>
          <w:snapToGrid w:val="0"/>
        </w:rPr>
        <w:t xml:space="preserve"> ssb-PositionsInBurst </w:t>
      </w:r>
      <w:r w:rsidR="006A7F61" w:rsidRPr="006A7F61">
        <w:rPr>
          <w:b/>
          <w:bCs/>
          <w:i/>
          <w:iCs/>
          <w:snapToGrid w:val="0"/>
        </w:rPr>
        <w:t>for</w:t>
      </w:r>
      <w:r w:rsidRPr="006A7F61">
        <w:rPr>
          <w:b/>
          <w:bCs/>
          <w:i/>
          <w:iCs/>
          <w:snapToGrid w:val="0"/>
        </w:rPr>
        <w:t xml:space="preserve"> CD-SSB from the same serving cell</w:t>
      </w:r>
      <w:r w:rsidRPr="00DA2B32">
        <w:rPr>
          <w:b/>
          <w:bCs/>
          <w:i/>
          <w:iCs/>
          <w:snapToGrid w:val="0"/>
        </w:rPr>
        <w:t>.</w:t>
      </w:r>
    </w:p>
    <w:p w14:paraId="0117F7DF" w14:textId="77777777" w:rsidR="006A7F61" w:rsidRDefault="006A7F61" w:rsidP="00D33E72">
      <w:pPr>
        <w:tabs>
          <w:tab w:val="left" w:pos="990"/>
        </w:tabs>
        <w:jc w:val="both"/>
        <w:rPr>
          <w:snapToGrid w:val="0"/>
        </w:rPr>
      </w:pPr>
      <w:r>
        <w:rPr>
          <w:snapToGrid w:val="0"/>
        </w:rPr>
        <w:t xml:space="preserve">Since the NCD-SSB is introduced only for RedCap UE, we don’t think legacy UE is allowed to detect it, or at least NCD-SSB shall not be an option of cell blind detection in initial access. Thus, </w:t>
      </w:r>
      <w:r w:rsidRPr="006A7F61">
        <w:rPr>
          <w:snapToGrid w:val="0"/>
        </w:rPr>
        <w:t>NCD-SSB should be configured off sync raster</w:t>
      </w:r>
      <w:r>
        <w:rPr>
          <w:snapToGrid w:val="0"/>
        </w:rPr>
        <w:t>.</w:t>
      </w:r>
    </w:p>
    <w:p w14:paraId="79C25126" w14:textId="3F044653" w:rsidR="00F95928" w:rsidRPr="006A7F61" w:rsidRDefault="006A7F61" w:rsidP="00D33E72">
      <w:pPr>
        <w:tabs>
          <w:tab w:val="left" w:pos="990"/>
        </w:tabs>
        <w:jc w:val="both"/>
        <w:rPr>
          <w:b/>
          <w:bCs/>
          <w:i/>
          <w:iCs/>
          <w:snapToGrid w:val="0"/>
        </w:rPr>
      </w:pPr>
      <w:r w:rsidRPr="006A7F61">
        <w:rPr>
          <w:b/>
          <w:bCs/>
          <w:i/>
          <w:iCs/>
          <w:snapToGrid w:val="0"/>
        </w:rPr>
        <w:t>Proposal 10: NCD-SSB should be configured off sync raster.</w:t>
      </w:r>
    </w:p>
    <w:p w14:paraId="2D3247F9" w14:textId="361DBA21" w:rsidR="0014776E" w:rsidRDefault="006A7F61" w:rsidP="00D33E72">
      <w:pPr>
        <w:tabs>
          <w:tab w:val="left" w:pos="990"/>
        </w:tabs>
        <w:jc w:val="both"/>
        <w:rPr>
          <w:snapToGrid w:val="0"/>
        </w:rPr>
      </w:pPr>
      <w:r>
        <w:rPr>
          <w:snapToGrid w:val="0"/>
        </w:rPr>
        <w:t>Another discussion is about the half frame inde</w:t>
      </w:r>
      <w:r w:rsidR="00B8422A">
        <w:rPr>
          <w:snapToGrid w:val="0"/>
        </w:rPr>
        <w:t>x for CD-SSB and NCD-SSB. If NCD-SSB and CD-SSB from same serving cell share the same time offset but have different periodicity, on some of the time occasions NCD-SSB and CD-SSB would be contained in the same SFN.</w:t>
      </w:r>
      <w:r w:rsidR="00E11B92">
        <w:rPr>
          <w:snapToGrid w:val="0"/>
        </w:rPr>
        <w:t xml:space="preserve"> In last meeting, some companies ha</w:t>
      </w:r>
      <w:r w:rsidR="00C10A99">
        <w:rPr>
          <w:snapToGrid w:val="0"/>
        </w:rPr>
        <w:t>d</w:t>
      </w:r>
      <w:r w:rsidR="00E11B92">
        <w:rPr>
          <w:snapToGrid w:val="0"/>
        </w:rPr>
        <w:t xml:space="preserve"> concern on the power limitation at network side if NCD-SSB and CD-SSB are transmitted on same symbols (same half frame). So, we think NCD-SSB and CD-SSB could be contained in the same </w:t>
      </w:r>
      <w:proofErr w:type="gramStart"/>
      <w:r w:rsidR="00E11B92">
        <w:rPr>
          <w:snapToGrid w:val="0"/>
        </w:rPr>
        <w:t>SFN</w:t>
      </w:r>
      <w:proofErr w:type="gramEnd"/>
      <w:r w:rsidR="00E11B92">
        <w:rPr>
          <w:snapToGrid w:val="0"/>
        </w:rPr>
        <w:t xml:space="preserve"> but different half frame and it would be also easy for UE to locate the NCD-SSB position when completing the CD-SSB </w:t>
      </w:r>
      <w:r w:rsidR="0014776E">
        <w:rPr>
          <w:snapToGrid w:val="0"/>
        </w:rPr>
        <w:t>synchronization</w:t>
      </w:r>
      <w:r w:rsidR="00E11B92">
        <w:rPr>
          <w:snapToGrid w:val="0"/>
        </w:rPr>
        <w:t>.</w:t>
      </w:r>
    </w:p>
    <w:p w14:paraId="355780B6" w14:textId="42DAC68D" w:rsidR="00270B47" w:rsidRPr="0014776E" w:rsidRDefault="0014776E" w:rsidP="00E860BA">
      <w:pPr>
        <w:tabs>
          <w:tab w:val="left" w:pos="990"/>
        </w:tabs>
        <w:jc w:val="both"/>
        <w:rPr>
          <w:b/>
          <w:bCs/>
          <w:i/>
          <w:iCs/>
          <w:snapToGrid w:val="0"/>
        </w:rPr>
      </w:pPr>
      <w:r w:rsidRPr="006A7F61">
        <w:rPr>
          <w:b/>
          <w:bCs/>
          <w:i/>
          <w:iCs/>
          <w:snapToGrid w:val="0"/>
        </w:rPr>
        <w:t>Proposal 1</w:t>
      </w:r>
      <w:r>
        <w:rPr>
          <w:b/>
          <w:bCs/>
          <w:i/>
          <w:iCs/>
          <w:snapToGrid w:val="0"/>
        </w:rPr>
        <w:t>1</w:t>
      </w:r>
      <w:r w:rsidRPr="006A7F61">
        <w:rPr>
          <w:b/>
          <w:bCs/>
          <w:i/>
          <w:iCs/>
          <w:snapToGrid w:val="0"/>
        </w:rPr>
        <w:t xml:space="preserve">: </w:t>
      </w:r>
      <w:r w:rsidRPr="0014776E">
        <w:rPr>
          <w:b/>
          <w:bCs/>
          <w:i/>
          <w:iCs/>
          <w:snapToGrid w:val="0"/>
        </w:rPr>
        <w:t xml:space="preserve">NCD-SSBs and CD-SSB </w:t>
      </w:r>
      <w:r>
        <w:rPr>
          <w:b/>
          <w:bCs/>
          <w:i/>
          <w:iCs/>
          <w:snapToGrid w:val="0"/>
        </w:rPr>
        <w:t>from</w:t>
      </w:r>
      <w:r w:rsidRPr="0014776E">
        <w:rPr>
          <w:b/>
          <w:bCs/>
          <w:i/>
          <w:iCs/>
          <w:snapToGrid w:val="0"/>
        </w:rPr>
        <w:t xml:space="preserve"> the same </w:t>
      </w:r>
      <w:r>
        <w:rPr>
          <w:b/>
          <w:bCs/>
          <w:i/>
          <w:iCs/>
          <w:snapToGrid w:val="0"/>
        </w:rPr>
        <w:t>serving</w:t>
      </w:r>
      <w:r w:rsidRPr="0014776E">
        <w:rPr>
          <w:b/>
          <w:bCs/>
          <w:i/>
          <w:iCs/>
          <w:snapToGrid w:val="0"/>
        </w:rPr>
        <w:t xml:space="preserve"> cell shall be transmitted in different half-frames when NCD-SSB and CD-SSB are contained in the same SFN</w:t>
      </w:r>
      <w:r w:rsidRPr="006A7F61">
        <w:rPr>
          <w:b/>
          <w:bCs/>
          <w:i/>
          <w:iCs/>
          <w:snapToGrid w:val="0"/>
        </w:rPr>
        <w:t>.</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3AE6BA11" w14:textId="407CEE93" w:rsidR="00C10A99" w:rsidRDefault="00C10A99" w:rsidP="00C10A99">
      <w:pPr>
        <w:jc w:val="both"/>
      </w:pPr>
      <w:r>
        <w:t xml:space="preserve">In this contribution, we further discuss the </w:t>
      </w:r>
      <w:r w:rsidRPr="00026552">
        <w:t xml:space="preserve">capability </w:t>
      </w:r>
      <w:r>
        <w:t>and NCD-SSB design</w:t>
      </w:r>
      <w:r w:rsidRPr="00026552">
        <w:t xml:space="preserve"> for RedCap</w:t>
      </w:r>
      <w:r>
        <w:t xml:space="preserve"> RRM.</w:t>
      </w:r>
    </w:p>
    <w:p w14:paraId="5DEC85A1" w14:textId="77777777" w:rsidR="001D2D76" w:rsidRPr="00483E32" w:rsidRDefault="001D2D76" w:rsidP="001D2D76">
      <w:pPr>
        <w:tabs>
          <w:tab w:val="left" w:pos="990"/>
        </w:tabs>
        <w:jc w:val="both"/>
        <w:rPr>
          <w:b/>
          <w:bCs/>
          <w:i/>
          <w:iCs/>
        </w:rPr>
      </w:pPr>
      <w:r w:rsidRPr="00483E32">
        <w:rPr>
          <w:b/>
          <w:bCs/>
          <w:i/>
          <w:iCs/>
        </w:rPr>
        <w:lastRenderedPageBreak/>
        <w:t xml:space="preserve">Proposal 1: </w:t>
      </w:r>
      <w:r w:rsidRPr="00483E32">
        <w:rPr>
          <w:b/>
          <w:bCs/>
          <w:i/>
          <w:iCs/>
          <w:snapToGrid w:val="0"/>
        </w:rPr>
        <w:t>all CA or DC related features are not applicable for RedCap UE in R17</w:t>
      </w:r>
    </w:p>
    <w:p w14:paraId="55CF493A" w14:textId="77777777" w:rsidR="001D2D76" w:rsidRDefault="001D2D76" w:rsidP="001D2D76">
      <w:pPr>
        <w:tabs>
          <w:tab w:val="left" w:pos="990"/>
        </w:tabs>
        <w:jc w:val="both"/>
        <w:rPr>
          <w:b/>
          <w:bCs/>
          <w:i/>
          <w:iCs/>
          <w:snapToGrid w:val="0"/>
        </w:rPr>
      </w:pPr>
      <w:r w:rsidRPr="000958F3">
        <w:rPr>
          <w:b/>
          <w:bCs/>
          <w:i/>
          <w:iCs/>
          <w:snapToGrid w:val="0"/>
        </w:rPr>
        <w:t xml:space="preserve">Proposal 2: from RAN4 perspective, do not need to directly preclude any UE capability for RedCap UE except those CA or DC related features, but RAN4 could clarify that RAN4 would by default not define R16 feature related requirement for RedCap UE except the ones agreed in WF </w:t>
      </w:r>
      <w:r w:rsidRPr="000958F3">
        <w:rPr>
          <w:rFonts w:hint="eastAsia"/>
          <w:b/>
          <w:bCs/>
          <w:i/>
          <w:iCs/>
          <w:snapToGrid w:val="0"/>
        </w:rPr>
        <w:t>R4-2120410</w:t>
      </w:r>
      <w:r w:rsidRPr="000958F3">
        <w:rPr>
          <w:b/>
          <w:bCs/>
          <w:i/>
          <w:iCs/>
          <w:snapToGrid w:val="0"/>
        </w:rPr>
        <w:t xml:space="preserve">. </w:t>
      </w:r>
    </w:p>
    <w:p w14:paraId="082C20E4" w14:textId="77777777" w:rsidR="001D2D76" w:rsidRDefault="001D2D76" w:rsidP="001D2D76">
      <w:pPr>
        <w:tabs>
          <w:tab w:val="left" w:pos="990"/>
        </w:tabs>
        <w:jc w:val="both"/>
        <w:rPr>
          <w:b/>
          <w:bCs/>
          <w:i/>
          <w:iCs/>
          <w:snapToGrid w:val="0"/>
        </w:rPr>
      </w:pPr>
      <w:r w:rsidRPr="000320E4">
        <w:rPr>
          <w:b/>
          <w:bCs/>
          <w:i/>
          <w:iCs/>
          <w:snapToGrid w:val="0"/>
        </w:rPr>
        <w:t>Proposal 3: RAN4 to assume NCD-SSB is ‘QCL’-ed with CD-SSB when this NCD-SSB and CD-SSB shares the same SSB index.</w:t>
      </w:r>
    </w:p>
    <w:p w14:paraId="50C80BF2" w14:textId="77777777" w:rsidR="001D2D76" w:rsidRDefault="001D2D76" w:rsidP="001D2D76">
      <w:pPr>
        <w:tabs>
          <w:tab w:val="left" w:pos="990"/>
        </w:tabs>
        <w:jc w:val="both"/>
        <w:rPr>
          <w:b/>
          <w:bCs/>
          <w:i/>
          <w:iCs/>
          <w:snapToGrid w:val="0"/>
        </w:rPr>
      </w:pPr>
      <w:r w:rsidRPr="00C92C82">
        <w:rPr>
          <w:b/>
          <w:bCs/>
          <w:i/>
          <w:iCs/>
          <w:snapToGrid w:val="0"/>
        </w:rPr>
        <w:t>Proposal 4:</w:t>
      </w:r>
      <w:r>
        <w:rPr>
          <w:b/>
          <w:bCs/>
          <w:i/>
          <w:iCs/>
          <w:snapToGrid w:val="0"/>
        </w:rPr>
        <w:t xml:space="preserve"> UE by-default to assume NCD-SSB has the same SCS as the CD-SSB of the same serving cell. However, if SCS is different between NCD-SSB and CD-SSB of the same serving cell, </w:t>
      </w:r>
      <w:r w:rsidRPr="00B6546F">
        <w:rPr>
          <w:b/>
          <w:bCs/>
          <w:i/>
          <w:iCs/>
          <w:snapToGrid w:val="0"/>
        </w:rPr>
        <w:t>UE needs to be informed</w:t>
      </w:r>
      <w:r>
        <w:rPr>
          <w:b/>
          <w:bCs/>
          <w:i/>
          <w:iCs/>
          <w:snapToGrid w:val="0"/>
        </w:rPr>
        <w:t>.</w:t>
      </w:r>
    </w:p>
    <w:p w14:paraId="44795D73" w14:textId="77777777" w:rsidR="001D2D76" w:rsidRDefault="001D2D76" w:rsidP="001D2D76">
      <w:pPr>
        <w:tabs>
          <w:tab w:val="left" w:pos="990"/>
        </w:tabs>
        <w:jc w:val="both"/>
        <w:rPr>
          <w:b/>
          <w:bCs/>
          <w:i/>
          <w:iCs/>
          <w:snapToGrid w:val="0"/>
        </w:rPr>
      </w:pPr>
      <w:r w:rsidRPr="00C92C82">
        <w:rPr>
          <w:b/>
          <w:bCs/>
          <w:i/>
          <w:iCs/>
          <w:snapToGrid w:val="0"/>
        </w:rPr>
        <w:t xml:space="preserve">Proposal </w:t>
      </w:r>
      <w:r>
        <w:rPr>
          <w:b/>
          <w:bCs/>
          <w:i/>
          <w:iCs/>
          <w:snapToGrid w:val="0"/>
        </w:rPr>
        <w:t>5</w:t>
      </w:r>
      <w:r w:rsidRPr="00C92C82">
        <w:rPr>
          <w:b/>
          <w:bCs/>
          <w:i/>
          <w:iCs/>
          <w:snapToGrid w:val="0"/>
        </w:rPr>
        <w:t>:</w:t>
      </w:r>
      <w:r>
        <w:rPr>
          <w:b/>
          <w:bCs/>
          <w:i/>
          <w:iCs/>
          <w:snapToGrid w:val="0"/>
        </w:rPr>
        <w:t xml:space="preserve"> Recommend to place neighbor cell’s NCD SSB</w:t>
      </w:r>
      <w:r w:rsidRPr="00270B47">
        <w:t xml:space="preserve"> </w:t>
      </w:r>
      <w:r w:rsidRPr="00270B47">
        <w:rPr>
          <w:b/>
          <w:bCs/>
          <w:i/>
          <w:iCs/>
          <w:snapToGrid w:val="0"/>
        </w:rPr>
        <w:t>collide with serving cell’</w:t>
      </w:r>
      <w:r>
        <w:rPr>
          <w:b/>
          <w:bCs/>
          <w:i/>
          <w:iCs/>
          <w:snapToGrid w:val="0"/>
        </w:rPr>
        <w:t>s</w:t>
      </w:r>
      <w:r w:rsidRPr="00270B47">
        <w:rPr>
          <w:b/>
          <w:bCs/>
          <w:i/>
          <w:iCs/>
          <w:snapToGrid w:val="0"/>
        </w:rPr>
        <w:t xml:space="preserve"> NCD-SSB</w:t>
      </w:r>
      <w:r>
        <w:rPr>
          <w:b/>
          <w:bCs/>
          <w:i/>
          <w:iCs/>
          <w:snapToGrid w:val="0"/>
        </w:rPr>
        <w:t xml:space="preserve"> on frequency domain if they share the same SCS.</w:t>
      </w:r>
    </w:p>
    <w:p w14:paraId="7F02E1E9" w14:textId="77777777" w:rsidR="001D2D76" w:rsidRDefault="001D2D76" w:rsidP="001D2D76">
      <w:pPr>
        <w:tabs>
          <w:tab w:val="left" w:pos="990"/>
        </w:tabs>
        <w:jc w:val="both"/>
        <w:rPr>
          <w:b/>
          <w:bCs/>
          <w:i/>
          <w:iCs/>
          <w:snapToGrid w:val="0"/>
        </w:rPr>
      </w:pPr>
      <w:r>
        <w:rPr>
          <w:b/>
          <w:bCs/>
          <w:i/>
          <w:iCs/>
          <w:snapToGrid w:val="0"/>
        </w:rPr>
        <w:t>Proposal 6: 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4F6C3044" w14:textId="77777777" w:rsidR="001D2D76" w:rsidRDefault="001D2D76" w:rsidP="001D2D76">
      <w:pPr>
        <w:tabs>
          <w:tab w:val="left" w:pos="990"/>
        </w:tabs>
        <w:jc w:val="both"/>
        <w:rPr>
          <w:b/>
          <w:bCs/>
          <w:i/>
          <w:iCs/>
          <w:snapToGrid w:val="0"/>
        </w:rPr>
      </w:pPr>
      <w:r w:rsidRPr="005E2741">
        <w:rPr>
          <w:b/>
          <w:bCs/>
          <w:i/>
          <w:iCs/>
          <w:snapToGrid w:val="0"/>
        </w:rPr>
        <w:t>Proposal 7: For RedCap UE supporting NCD-SSB measurement, a measurement is defined as a SSB based intra-frequency measurement provided the centre frequency of the CD-SSB or NCD-SSB of the serving cell indicated for measurement and the centre frequency of the target SSB of the neighbour cell indicated for measurement are the same, and the subcarrier spacing of the two SSBs are also the same.</w:t>
      </w:r>
    </w:p>
    <w:p w14:paraId="6C2F77B4" w14:textId="77777777" w:rsidR="001D2D76" w:rsidRPr="00DA2B32" w:rsidRDefault="001D2D76" w:rsidP="001D2D76">
      <w:pPr>
        <w:tabs>
          <w:tab w:val="left" w:pos="990"/>
        </w:tabs>
        <w:jc w:val="both"/>
        <w:rPr>
          <w:b/>
          <w:bCs/>
          <w:i/>
          <w:iCs/>
          <w:snapToGrid w:val="0"/>
        </w:rPr>
      </w:pPr>
      <w:r w:rsidRPr="00DA2B32">
        <w:rPr>
          <w:b/>
          <w:bCs/>
          <w:i/>
          <w:iCs/>
          <w:snapToGrid w:val="0"/>
        </w:rPr>
        <w:t xml:space="preserve">Proposal 8: if both CD-SSB and NCD-SSB measurement are configured </w:t>
      </w:r>
      <w:r>
        <w:rPr>
          <w:b/>
          <w:bCs/>
          <w:i/>
          <w:iCs/>
          <w:snapToGrid w:val="0"/>
        </w:rPr>
        <w:t>to RedCap UE but</w:t>
      </w:r>
      <w:r w:rsidRPr="00DA2B32">
        <w:rPr>
          <w:b/>
          <w:bCs/>
          <w:i/>
          <w:iCs/>
          <w:snapToGrid w:val="0"/>
        </w:rPr>
        <w:t xml:space="preserve"> </w:t>
      </w:r>
      <w:proofErr w:type="gramStart"/>
      <w:r w:rsidRPr="00DA2B32">
        <w:rPr>
          <w:b/>
          <w:bCs/>
          <w:i/>
          <w:iCs/>
          <w:snapToGrid w:val="0"/>
        </w:rPr>
        <w:t>both of them</w:t>
      </w:r>
      <w:proofErr w:type="gramEnd"/>
      <w:r w:rsidRPr="00DA2B32">
        <w:rPr>
          <w:b/>
          <w:bCs/>
          <w:i/>
          <w:iCs/>
          <w:snapToGrid w:val="0"/>
        </w:rPr>
        <w:t xml:space="preserve"> need MG, UE could choose to perform CD-SSB measurement only.</w:t>
      </w:r>
    </w:p>
    <w:p w14:paraId="2CE3DB36" w14:textId="3DBC94D4" w:rsidR="001D2D76" w:rsidRPr="00DA2B32" w:rsidRDefault="001D2D76" w:rsidP="001D2D76">
      <w:pPr>
        <w:tabs>
          <w:tab w:val="left" w:pos="990"/>
        </w:tabs>
        <w:jc w:val="both"/>
        <w:rPr>
          <w:b/>
          <w:bCs/>
          <w:i/>
          <w:iCs/>
          <w:snapToGrid w:val="0"/>
        </w:rPr>
      </w:pPr>
      <w:r w:rsidRPr="00DA2B32">
        <w:rPr>
          <w:b/>
          <w:bCs/>
          <w:i/>
          <w:iCs/>
          <w:snapToGrid w:val="0"/>
        </w:rPr>
        <w:t xml:space="preserve">Proposal </w:t>
      </w:r>
      <w:r>
        <w:rPr>
          <w:b/>
          <w:bCs/>
          <w:i/>
          <w:iCs/>
          <w:snapToGrid w:val="0"/>
        </w:rPr>
        <w:t>9</w:t>
      </w:r>
      <w:r w:rsidRPr="00DA2B32">
        <w:rPr>
          <w:b/>
          <w:bCs/>
          <w:i/>
          <w:iCs/>
          <w:snapToGrid w:val="0"/>
        </w:rPr>
        <w:t xml:space="preserve">: </w:t>
      </w:r>
      <w:r w:rsidRPr="006A7F61">
        <w:rPr>
          <w:b/>
          <w:bCs/>
          <w:i/>
          <w:iCs/>
          <w:snapToGrid w:val="0"/>
        </w:rPr>
        <w:t xml:space="preserve">ssb-PositionsInBurst for NCD-SSB could be a subset or </w:t>
      </w:r>
      <w:r w:rsidR="007919DF">
        <w:rPr>
          <w:b/>
          <w:bCs/>
          <w:i/>
          <w:iCs/>
          <w:snapToGrid w:val="0"/>
        </w:rPr>
        <w:t>equal</w:t>
      </w:r>
      <w:r w:rsidRPr="006A7F61">
        <w:rPr>
          <w:b/>
          <w:bCs/>
          <w:i/>
          <w:iCs/>
          <w:snapToGrid w:val="0"/>
        </w:rPr>
        <w:t>-set of ssb-PositionsInBurst for CD-SSB from the same serving cell</w:t>
      </w:r>
      <w:r w:rsidRPr="00DA2B32">
        <w:rPr>
          <w:b/>
          <w:bCs/>
          <w:i/>
          <w:iCs/>
          <w:snapToGrid w:val="0"/>
        </w:rPr>
        <w:t>.</w:t>
      </w:r>
    </w:p>
    <w:p w14:paraId="67BFF513" w14:textId="77777777" w:rsidR="001D2D76" w:rsidRPr="006A7F61" w:rsidRDefault="001D2D76" w:rsidP="001D2D76">
      <w:pPr>
        <w:tabs>
          <w:tab w:val="left" w:pos="990"/>
        </w:tabs>
        <w:jc w:val="both"/>
        <w:rPr>
          <w:b/>
          <w:bCs/>
          <w:i/>
          <w:iCs/>
          <w:snapToGrid w:val="0"/>
        </w:rPr>
      </w:pPr>
      <w:r w:rsidRPr="006A7F61">
        <w:rPr>
          <w:b/>
          <w:bCs/>
          <w:i/>
          <w:iCs/>
          <w:snapToGrid w:val="0"/>
        </w:rPr>
        <w:t>Proposal 10: NCD-SSB should be configured off sync raster.</w:t>
      </w:r>
    </w:p>
    <w:p w14:paraId="13D9536C" w14:textId="65CA4477" w:rsidR="00C10A99" w:rsidRPr="001D2D76" w:rsidRDefault="001D2D76" w:rsidP="001D2D76">
      <w:pPr>
        <w:tabs>
          <w:tab w:val="left" w:pos="990"/>
        </w:tabs>
        <w:jc w:val="both"/>
        <w:rPr>
          <w:b/>
          <w:bCs/>
          <w:i/>
          <w:iCs/>
          <w:snapToGrid w:val="0"/>
        </w:rPr>
      </w:pPr>
      <w:r w:rsidRPr="006A7F61">
        <w:rPr>
          <w:b/>
          <w:bCs/>
          <w:i/>
          <w:iCs/>
          <w:snapToGrid w:val="0"/>
        </w:rPr>
        <w:t>Proposal 1</w:t>
      </w:r>
      <w:r>
        <w:rPr>
          <w:b/>
          <w:bCs/>
          <w:i/>
          <w:iCs/>
          <w:snapToGrid w:val="0"/>
        </w:rPr>
        <w:t>1</w:t>
      </w:r>
      <w:r w:rsidRPr="006A7F61">
        <w:rPr>
          <w:b/>
          <w:bCs/>
          <w:i/>
          <w:iCs/>
          <w:snapToGrid w:val="0"/>
        </w:rPr>
        <w:t xml:space="preserve">: </w:t>
      </w:r>
      <w:r w:rsidRPr="0014776E">
        <w:rPr>
          <w:b/>
          <w:bCs/>
          <w:i/>
          <w:iCs/>
          <w:snapToGrid w:val="0"/>
        </w:rPr>
        <w:t xml:space="preserve">NCD-SSBs and CD-SSB </w:t>
      </w:r>
      <w:r>
        <w:rPr>
          <w:b/>
          <w:bCs/>
          <w:i/>
          <w:iCs/>
          <w:snapToGrid w:val="0"/>
        </w:rPr>
        <w:t>from</w:t>
      </w:r>
      <w:r w:rsidRPr="0014776E">
        <w:rPr>
          <w:b/>
          <w:bCs/>
          <w:i/>
          <w:iCs/>
          <w:snapToGrid w:val="0"/>
        </w:rPr>
        <w:t xml:space="preserve"> the same </w:t>
      </w:r>
      <w:r>
        <w:rPr>
          <w:b/>
          <w:bCs/>
          <w:i/>
          <w:iCs/>
          <w:snapToGrid w:val="0"/>
        </w:rPr>
        <w:t>serving</w:t>
      </w:r>
      <w:r w:rsidRPr="0014776E">
        <w:rPr>
          <w:b/>
          <w:bCs/>
          <w:i/>
          <w:iCs/>
          <w:snapToGrid w:val="0"/>
        </w:rPr>
        <w:t xml:space="preserve"> cell shall be transmitted in different half-frames when NCD-SSB and CD-SSB are contained in the same SFN</w:t>
      </w:r>
      <w:r w:rsidRPr="006A7F61">
        <w:rPr>
          <w:b/>
          <w:bCs/>
          <w:i/>
          <w:iCs/>
          <w:snapToGrid w:val="0"/>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17A69747" w14:textId="1DB2D34C" w:rsidR="008C14CC" w:rsidRPr="008C14CC" w:rsidRDefault="00EC58E7" w:rsidP="008C14CC">
      <w:r>
        <w:t>[</w:t>
      </w:r>
      <w:r w:rsidR="00026552">
        <w:t>1</w:t>
      </w:r>
      <w:r>
        <w:t xml:space="preserve">] </w:t>
      </w:r>
      <w:r w:rsidR="00403517" w:rsidRPr="00403517">
        <w:t>R4-2120410</w:t>
      </w:r>
      <w:r w:rsidR="004E2CEA">
        <w:t xml:space="preserve">, </w:t>
      </w:r>
      <w:r w:rsidR="00403517" w:rsidRPr="00403517">
        <w:t>WF on the use of NCD-SSB for RedCap UE</w:t>
      </w:r>
      <w:r w:rsidR="004E2CEA">
        <w:t xml:space="preserve">, </w:t>
      </w:r>
      <w:r w:rsidR="00403517">
        <w:t>ZTE</w:t>
      </w:r>
      <w:r w:rsidR="004E2CEA">
        <w:t>, RAN</w:t>
      </w:r>
      <w:r w:rsidR="00403517">
        <w:t>4</w:t>
      </w:r>
      <w:r w:rsidR="004E2CEA">
        <w:t>#1</w:t>
      </w:r>
      <w:r w:rsidR="00403517">
        <w:t>01</w:t>
      </w:r>
      <w:r w:rsidR="004E2CEA">
        <w:t>e</w:t>
      </w:r>
    </w:p>
    <w:sectPr w:rsidR="008C14CC" w:rsidRPr="008C14CC"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EAB92" w14:textId="77777777" w:rsidR="00601957" w:rsidRDefault="00601957">
      <w:pPr>
        <w:spacing w:after="0"/>
      </w:pPr>
      <w:r>
        <w:separator/>
      </w:r>
    </w:p>
  </w:endnote>
  <w:endnote w:type="continuationSeparator" w:id="0">
    <w:p w14:paraId="26E568C2" w14:textId="77777777" w:rsidR="00601957" w:rsidRDefault="00601957">
      <w:pPr>
        <w:spacing w:after="0"/>
      </w:pPr>
      <w:r>
        <w:continuationSeparator/>
      </w:r>
    </w:p>
  </w:endnote>
  <w:endnote w:type="continuationNotice" w:id="1">
    <w:p w14:paraId="2FDB34C6" w14:textId="77777777" w:rsidR="00601957" w:rsidRDefault="00601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D47D4" w14:textId="77777777" w:rsidR="00601957" w:rsidRDefault="00601957">
      <w:pPr>
        <w:spacing w:after="0"/>
      </w:pPr>
      <w:r>
        <w:separator/>
      </w:r>
    </w:p>
  </w:footnote>
  <w:footnote w:type="continuationSeparator" w:id="0">
    <w:p w14:paraId="0E0083D6" w14:textId="77777777" w:rsidR="00601957" w:rsidRDefault="00601957">
      <w:pPr>
        <w:spacing w:after="0"/>
      </w:pPr>
      <w:r>
        <w:continuationSeparator/>
      </w:r>
    </w:p>
  </w:footnote>
  <w:footnote w:type="continuationNotice" w:id="1">
    <w:p w14:paraId="3DA30BC6" w14:textId="77777777" w:rsidR="00601957" w:rsidRDefault="006019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5C6BFD"/>
    <w:multiLevelType w:val="hybridMultilevel"/>
    <w:tmpl w:val="2788EB84"/>
    <w:lvl w:ilvl="0" w:tplc="D6A89E04">
      <w:start w:val="1"/>
      <w:numFmt w:val="bullet"/>
      <w:lvlText w:val="•"/>
      <w:lvlJc w:val="left"/>
      <w:pPr>
        <w:tabs>
          <w:tab w:val="num" w:pos="720"/>
        </w:tabs>
        <w:ind w:left="720" w:hanging="360"/>
      </w:pPr>
      <w:rPr>
        <w:rFonts w:ascii="Arial" w:hAnsi="Arial" w:hint="default"/>
      </w:rPr>
    </w:lvl>
    <w:lvl w:ilvl="1" w:tplc="73D8B5D8" w:tentative="1">
      <w:start w:val="1"/>
      <w:numFmt w:val="bullet"/>
      <w:lvlText w:val="•"/>
      <w:lvlJc w:val="left"/>
      <w:pPr>
        <w:tabs>
          <w:tab w:val="num" w:pos="1440"/>
        </w:tabs>
        <w:ind w:left="1440" w:hanging="360"/>
      </w:pPr>
      <w:rPr>
        <w:rFonts w:ascii="Arial" w:hAnsi="Arial" w:hint="default"/>
      </w:rPr>
    </w:lvl>
    <w:lvl w:ilvl="2" w:tplc="8CEA5270" w:tentative="1">
      <w:start w:val="1"/>
      <w:numFmt w:val="bullet"/>
      <w:lvlText w:val="•"/>
      <w:lvlJc w:val="left"/>
      <w:pPr>
        <w:tabs>
          <w:tab w:val="num" w:pos="2160"/>
        </w:tabs>
        <w:ind w:left="2160" w:hanging="360"/>
      </w:pPr>
      <w:rPr>
        <w:rFonts w:ascii="Arial" w:hAnsi="Arial" w:hint="default"/>
      </w:rPr>
    </w:lvl>
    <w:lvl w:ilvl="3" w:tplc="09CA090E" w:tentative="1">
      <w:start w:val="1"/>
      <w:numFmt w:val="bullet"/>
      <w:lvlText w:val="•"/>
      <w:lvlJc w:val="left"/>
      <w:pPr>
        <w:tabs>
          <w:tab w:val="num" w:pos="2880"/>
        </w:tabs>
        <w:ind w:left="2880" w:hanging="360"/>
      </w:pPr>
      <w:rPr>
        <w:rFonts w:ascii="Arial" w:hAnsi="Arial" w:hint="default"/>
      </w:rPr>
    </w:lvl>
    <w:lvl w:ilvl="4" w:tplc="C9D460D4" w:tentative="1">
      <w:start w:val="1"/>
      <w:numFmt w:val="bullet"/>
      <w:lvlText w:val="•"/>
      <w:lvlJc w:val="left"/>
      <w:pPr>
        <w:tabs>
          <w:tab w:val="num" w:pos="3600"/>
        </w:tabs>
        <w:ind w:left="3600" w:hanging="360"/>
      </w:pPr>
      <w:rPr>
        <w:rFonts w:ascii="Arial" w:hAnsi="Arial" w:hint="default"/>
      </w:rPr>
    </w:lvl>
    <w:lvl w:ilvl="5" w:tplc="01BE0DE2" w:tentative="1">
      <w:start w:val="1"/>
      <w:numFmt w:val="bullet"/>
      <w:lvlText w:val="•"/>
      <w:lvlJc w:val="left"/>
      <w:pPr>
        <w:tabs>
          <w:tab w:val="num" w:pos="4320"/>
        </w:tabs>
        <w:ind w:left="4320" w:hanging="360"/>
      </w:pPr>
      <w:rPr>
        <w:rFonts w:ascii="Arial" w:hAnsi="Arial" w:hint="default"/>
      </w:rPr>
    </w:lvl>
    <w:lvl w:ilvl="6" w:tplc="06EE157E" w:tentative="1">
      <w:start w:val="1"/>
      <w:numFmt w:val="bullet"/>
      <w:lvlText w:val="•"/>
      <w:lvlJc w:val="left"/>
      <w:pPr>
        <w:tabs>
          <w:tab w:val="num" w:pos="5040"/>
        </w:tabs>
        <w:ind w:left="5040" w:hanging="360"/>
      </w:pPr>
      <w:rPr>
        <w:rFonts w:ascii="Arial" w:hAnsi="Arial" w:hint="default"/>
      </w:rPr>
    </w:lvl>
    <w:lvl w:ilvl="7" w:tplc="D572088E" w:tentative="1">
      <w:start w:val="1"/>
      <w:numFmt w:val="bullet"/>
      <w:lvlText w:val="•"/>
      <w:lvlJc w:val="left"/>
      <w:pPr>
        <w:tabs>
          <w:tab w:val="num" w:pos="5760"/>
        </w:tabs>
        <w:ind w:left="5760" w:hanging="360"/>
      </w:pPr>
      <w:rPr>
        <w:rFonts w:ascii="Arial" w:hAnsi="Arial" w:hint="default"/>
      </w:rPr>
    </w:lvl>
    <w:lvl w:ilvl="8" w:tplc="96C8F9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441465F"/>
    <w:multiLevelType w:val="hybridMultilevel"/>
    <w:tmpl w:val="57EEC17E"/>
    <w:lvl w:ilvl="0" w:tplc="9B7699A2">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3E6D1C"/>
    <w:multiLevelType w:val="hybridMultilevel"/>
    <w:tmpl w:val="BDBC79F4"/>
    <w:lvl w:ilvl="0" w:tplc="2042ED3C">
      <w:start w:val="1"/>
      <w:numFmt w:val="decimal"/>
      <w:lvlText w:val="(%1)"/>
      <w:lvlJc w:val="left"/>
      <w:pPr>
        <w:ind w:left="380" w:hanging="380"/>
      </w:pPr>
      <w:rPr>
        <w:rFonts w:hint="default"/>
        <w:b w:val="0"/>
        <w:bCs w:val="0"/>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3173E2"/>
    <w:multiLevelType w:val="hybridMultilevel"/>
    <w:tmpl w:val="F4B66D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8E56152"/>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EF7A8E"/>
    <w:multiLevelType w:val="hybridMultilevel"/>
    <w:tmpl w:val="66FA0724"/>
    <w:lvl w:ilvl="0" w:tplc="8BF012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E299D"/>
    <w:multiLevelType w:val="hybridMultilevel"/>
    <w:tmpl w:val="37C4BEE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91D0F"/>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EA039C"/>
    <w:multiLevelType w:val="hybridMultilevel"/>
    <w:tmpl w:val="73E24298"/>
    <w:lvl w:ilvl="0" w:tplc="2AA462DA">
      <w:start w:val="1"/>
      <w:numFmt w:val="bullet"/>
      <w:lvlText w:val="•"/>
      <w:lvlJc w:val="left"/>
      <w:pPr>
        <w:tabs>
          <w:tab w:val="num" w:pos="720"/>
        </w:tabs>
        <w:ind w:left="720" w:hanging="360"/>
      </w:pPr>
      <w:rPr>
        <w:rFonts w:ascii="Arial" w:hAnsi="Arial" w:hint="default"/>
      </w:rPr>
    </w:lvl>
    <w:lvl w:ilvl="1" w:tplc="B20AAA94">
      <w:start w:val="1"/>
      <w:numFmt w:val="bullet"/>
      <w:lvlText w:val="•"/>
      <w:lvlJc w:val="left"/>
      <w:pPr>
        <w:tabs>
          <w:tab w:val="num" w:pos="1440"/>
        </w:tabs>
        <w:ind w:left="1440" w:hanging="360"/>
      </w:pPr>
      <w:rPr>
        <w:rFonts w:ascii="Arial" w:hAnsi="Arial" w:hint="default"/>
      </w:rPr>
    </w:lvl>
    <w:lvl w:ilvl="2" w:tplc="5FC81390">
      <w:start w:val="1"/>
      <w:numFmt w:val="decimal"/>
      <w:lvlText w:val="%3."/>
      <w:lvlJc w:val="left"/>
      <w:pPr>
        <w:tabs>
          <w:tab w:val="num" w:pos="2160"/>
        </w:tabs>
        <w:ind w:left="2160" w:hanging="360"/>
      </w:pPr>
    </w:lvl>
    <w:lvl w:ilvl="3" w:tplc="C3646740" w:tentative="1">
      <w:start w:val="1"/>
      <w:numFmt w:val="bullet"/>
      <w:lvlText w:val="•"/>
      <w:lvlJc w:val="left"/>
      <w:pPr>
        <w:tabs>
          <w:tab w:val="num" w:pos="2880"/>
        </w:tabs>
        <w:ind w:left="2880" w:hanging="360"/>
      </w:pPr>
      <w:rPr>
        <w:rFonts w:ascii="Arial" w:hAnsi="Arial" w:hint="default"/>
      </w:rPr>
    </w:lvl>
    <w:lvl w:ilvl="4" w:tplc="A0D6CA64" w:tentative="1">
      <w:start w:val="1"/>
      <w:numFmt w:val="bullet"/>
      <w:lvlText w:val="•"/>
      <w:lvlJc w:val="left"/>
      <w:pPr>
        <w:tabs>
          <w:tab w:val="num" w:pos="3600"/>
        </w:tabs>
        <w:ind w:left="3600" w:hanging="360"/>
      </w:pPr>
      <w:rPr>
        <w:rFonts w:ascii="Arial" w:hAnsi="Arial" w:hint="default"/>
      </w:rPr>
    </w:lvl>
    <w:lvl w:ilvl="5" w:tplc="E5B61334" w:tentative="1">
      <w:start w:val="1"/>
      <w:numFmt w:val="bullet"/>
      <w:lvlText w:val="•"/>
      <w:lvlJc w:val="left"/>
      <w:pPr>
        <w:tabs>
          <w:tab w:val="num" w:pos="4320"/>
        </w:tabs>
        <w:ind w:left="4320" w:hanging="360"/>
      </w:pPr>
      <w:rPr>
        <w:rFonts w:ascii="Arial" w:hAnsi="Arial" w:hint="default"/>
      </w:rPr>
    </w:lvl>
    <w:lvl w:ilvl="6" w:tplc="2FFA0134" w:tentative="1">
      <w:start w:val="1"/>
      <w:numFmt w:val="bullet"/>
      <w:lvlText w:val="•"/>
      <w:lvlJc w:val="left"/>
      <w:pPr>
        <w:tabs>
          <w:tab w:val="num" w:pos="5040"/>
        </w:tabs>
        <w:ind w:left="5040" w:hanging="360"/>
      </w:pPr>
      <w:rPr>
        <w:rFonts w:ascii="Arial" w:hAnsi="Arial" w:hint="default"/>
      </w:rPr>
    </w:lvl>
    <w:lvl w:ilvl="7" w:tplc="76CE2D74" w:tentative="1">
      <w:start w:val="1"/>
      <w:numFmt w:val="bullet"/>
      <w:lvlText w:val="•"/>
      <w:lvlJc w:val="left"/>
      <w:pPr>
        <w:tabs>
          <w:tab w:val="num" w:pos="5760"/>
        </w:tabs>
        <w:ind w:left="5760" w:hanging="360"/>
      </w:pPr>
      <w:rPr>
        <w:rFonts w:ascii="Arial" w:hAnsi="Arial" w:hint="default"/>
      </w:rPr>
    </w:lvl>
    <w:lvl w:ilvl="8" w:tplc="2D7E95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DD1755"/>
    <w:multiLevelType w:val="hybridMultilevel"/>
    <w:tmpl w:val="BE6A944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31"/>
  </w:num>
  <w:num w:numId="12">
    <w:abstractNumId w:val="13"/>
  </w:num>
  <w:num w:numId="13">
    <w:abstractNumId w:val="4"/>
  </w:num>
  <w:num w:numId="14">
    <w:abstractNumId w:val="8"/>
  </w:num>
  <w:num w:numId="15">
    <w:abstractNumId w:val="9"/>
  </w:num>
  <w:num w:numId="16">
    <w:abstractNumId w:val="23"/>
  </w:num>
  <w:num w:numId="17">
    <w:abstractNumId w:val="12"/>
  </w:num>
  <w:num w:numId="18">
    <w:abstractNumId w:val="2"/>
  </w:num>
  <w:num w:numId="19">
    <w:abstractNumId w:val="19"/>
  </w:num>
  <w:num w:numId="20">
    <w:abstractNumId w:val="34"/>
  </w:num>
  <w:num w:numId="21">
    <w:abstractNumId w:val="0"/>
  </w:num>
  <w:num w:numId="22">
    <w:abstractNumId w:val="28"/>
  </w:num>
  <w:num w:numId="23">
    <w:abstractNumId w:val="15"/>
  </w:num>
  <w:num w:numId="24">
    <w:abstractNumId w:val="21"/>
  </w:num>
  <w:num w:numId="25">
    <w:abstractNumId w:val="26"/>
  </w:num>
  <w:num w:numId="26">
    <w:abstractNumId w:val="32"/>
  </w:num>
  <w:num w:numId="27">
    <w:abstractNumId w:val="11"/>
  </w:num>
  <w:num w:numId="28">
    <w:abstractNumId w:val="17"/>
  </w:num>
  <w:num w:numId="29">
    <w:abstractNumId w:val="24"/>
  </w:num>
  <w:num w:numId="30">
    <w:abstractNumId w:val="18"/>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2">
    <w:abstractNumId w:val="3"/>
  </w:num>
  <w:num w:numId="33">
    <w:abstractNumId w:val="27"/>
  </w:num>
  <w:num w:numId="34">
    <w:abstractNumId w:val="7"/>
  </w:num>
  <w:num w:numId="35">
    <w:abstractNumId w:val="20"/>
  </w:num>
  <w:num w:numId="36">
    <w:abstractNumId w:val="29"/>
  </w:num>
  <w:num w:numId="3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552"/>
    <w:rsid w:val="000268B8"/>
    <w:rsid w:val="00026ED2"/>
    <w:rsid w:val="00026F21"/>
    <w:rsid w:val="00027CB7"/>
    <w:rsid w:val="000301DB"/>
    <w:rsid w:val="0003026B"/>
    <w:rsid w:val="000302CC"/>
    <w:rsid w:val="00031FC0"/>
    <w:rsid w:val="000320E4"/>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58F3"/>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035D"/>
    <w:rsid w:val="000C127F"/>
    <w:rsid w:val="000C12D6"/>
    <w:rsid w:val="000C18CE"/>
    <w:rsid w:val="000C1921"/>
    <w:rsid w:val="000C42A7"/>
    <w:rsid w:val="000C4F72"/>
    <w:rsid w:val="000C51C6"/>
    <w:rsid w:val="000C51EA"/>
    <w:rsid w:val="000C5BE0"/>
    <w:rsid w:val="000C7506"/>
    <w:rsid w:val="000C77A7"/>
    <w:rsid w:val="000D050B"/>
    <w:rsid w:val="000D2A81"/>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776E"/>
    <w:rsid w:val="00150143"/>
    <w:rsid w:val="001503B6"/>
    <w:rsid w:val="001508E2"/>
    <w:rsid w:val="001509D8"/>
    <w:rsid w:val="0015142D"/>
    <w:rsid w:val="001517B5"/>
    <w:rsid w:val="00151C6B"/>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074"/>
    <w:rsid w:val="001A02F4"/>
    <w:rsid w:val="001A1078"/>
    <w:rsid w:val="001A2DA5"/>
    <w:rsid w:val="001A31AA"/>
    <w:rsid w:val="001A31D4"/>
    <w:rsid w:val="001A45C5"/>
    <w:rsid w:val="001A47EE"/>
    <w:rsid w:val="001A4C19"/>
    <w:rsid w:val="001A53B3"/>
    <w:rsid w:val="001A5D9F"/>
    <w:rsid w:val="001B0B6E"/>
    <w:rsid w:val="001B1A8B"/>
    <w:rsid w:val="001B2E66"/>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2D76"/>
    <w:rsid w:val="001D3529"/>
    <w:rsid w:val="001D45C2"/>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5B6"/>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C3E"/>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0B47"/>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A64"/>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3517"/>
    <w:rsid w:val="004050A4"/>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3E32"/>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CEA"/>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2DE0"/>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516"/>
    <w:rsid w:val="005D4625"/>
    <w:rsid w:val="005D463B"/>
    <w:rsid w:val="005D595E"/>
    <w:rsid w:val="005D64E5"/>
    <w:rsid w:val="005E1E9C"/>
    <w:rsid w:val="005E1FEF"/>
    <w:rsid w:val="005E2741"/>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957"/>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6E33"/>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1"/>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694E"/>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0A35"/>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1CB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4F88"/>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C8"/>
    <w:rsid w:val="007815D3"/>
    <w:rsid w:val="00781AB8"/>
    <w:rsid w:val="0078387B"/>
    <w:rsid w:val="00784C37"/>
    <w:rsid w:val="00784D10"/>
    <w:rsid w:val="0078528E"/>
    <w:rsid w:val="00785EA1"/>
    <w:rsid w:val="00786B73"/>
    <w:rsid w:val="00787BB9"/>
    <w:rsid w:val="0079037A"/>
    <w:rsid w:val="007904E8"/>
    <w:rsid w:val="0079111B"/>
    <w:rsid w:val="00791564"/>
    <w:rsid w:val="007919DF"/>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0C76"/>
    <w:rsid w:val="007F0D0A"/>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67C"/>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4CC"/>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5D1"/>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D3C"/>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60AF"/>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42C"/>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11C"/>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4A4"/>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546F"/>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422A"/>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C7F5B"/>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02"/>
    <w:rsid w:val="00C030D9"/>
    <w:rsid w:val="00C03518"/>
    <w:rsid w:val="00C05A38"/>
    <w:rsid w:val="00C05D08"/>
    <w:rsid w:val="00C07CAF"/>
    <w:rsid w:val="00C07CBF"/>
    <w:rsid w:val="00C10078"/>
    <w:rsid w:val="00C10A99"/>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2C82"/>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4E9"/>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69CF"/>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2BD3"/>
    <w:rsid w:val="00D33E72"/>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3DE1"/>
    <w:rsid w:val="00D640A5"/>
    <w:rsid w:val="00D64754"/>
    <w:rsid w:val="00D64790"/>
    <w:rsid w:val="00D65609"/>
    <w:rsid w:val="00D658B9"/>
    <w:rsid w:val="00D65C58"/>
    <w:rsid w:val="00D66D97"/>
    <w:rsid w:val="00D674F4"/>
    <w:rsid w:val="00D6770F"/>
    <w:rsid w:val="00D67C8C"/>
    <w:rsid w:val="00D70F05"/>
    <w:rsid w:val="00D71624"/>
    <w:rsid w:val="00D71D8A"/>
    <w:rsid w:val="00D722A2"/>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2B32"/>
    <w:rsid w:val="00DA31CD"/>
    <w:rsid w:val="00DA39E6"/>
    <w:rsid w:val="00DA4887"/>
    <w:rsid w:val="00DA4895"/>
    <w:rsid w:val="00DA53B2"/>
    <w:rsid w:val="00DA5661"/>
    <w:rsid w:val="00DA5875"/>
    <w:rsid w:val="00DA650B"/>
    <w:rsid w:val="00DA6D1C"/>
    <w:rsid w:val="00DA70EA"/>
    <w:rsid w:val="00DA7545"/>
    <w:rsid w:val="00DA79A9"/>
    <w:rsid w:val="00DA7CE5"/>
    <w:rsid w:val="00DA7E76"/>
    <w:rsid w:val="00DB200C"/>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4FD"/>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D62"/>
    <w:rsid w:val="00E05055"/>
    <w:rsid w:val="00E05A88"/>
    <w:rsid w:val="00E0620D"/>
    <w:rsid w:val="00E06408"/>
    <w:rsid w:val="00E069B3"/>
    <w:rsid w:val="00E06AED"/>
    <w:rsid w:val="00E06BC5"/>
    <w:rsid w:val="00E076E5"/>
    <w:rsid w:val="00E07CD5"/>
    <w:rsid w:val="00E112E4"/>
    <w:rsid w:val="00E11B92"/>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1B8D"/>
    <w:rsid w:val="00E4233B"/>
    <w:rsid w:val="00E42B9B"/>
    <w:rsid w:val="00E432C5"/>
    <w:rsid w:val="00E441A5"/>
    <w:rsid w:val="00E44659"/>
    <w:rsid w:val="00E44F2B"/>
    <w:rsid w:val="00E45966"/>
    <w:rsid w:val="00E4677A"/>
    <w:rsid w:val="00E47736"/>
    <w:rsid w:val="00E4796D"/>
    <w:rsid w:val="00E47CCB"/>
    <w:rsid w:val="00E50359"/>
    <w:rsid w:val="00E50622"/>
    <w:rsid w:val="00E50869"/>
    <w:rsid w:val="00E51E38"/>
    <w:rsid w:val="00E52644"/>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5C98"/>
    <w:rsid w:val="00E860BA"/>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1CD"/>
    <w:rsid w:val="00EC44D5"/>
    <w:rsid w:val="00EC4DD5"/>
    <w:rsid w:val="00EC58E7"/>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1D4"/>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1776B"/>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596"/>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5254"/>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7AF"/>
    <w:rsid w:val="00F87CB0"/>
    <w:rsid w:val="00F906C7"/>
    <w:rsid w:val="00F91CFF"/>
    <w:rsid w:val="00F92174"/>
    <w:rsid w:val="00F9234F"/>
    <w:rsid w:val="00F92359"/>
    <w:rsid w:val="00F9577C"/>
    <w:rsid w:val="00F95928"/>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E3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59"/>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 w:type="character" w:customStyle="1" w:styleId="B1Char1">
    <w:name w:val="B1 Char1"/>
    <w:qFormat/>
    <w:rsid w:val="00EC58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22362523">
      <w:bodyDiv w:val="1"/>
      <w:marLeft w:val="0"/>
      <w:marRight w:val="0"/>
      <w:marTop w:val="0"/>
      <w:marBottom w:val="0"/>
      <w:divBdr>
        <w:top w:val="none" w:sz="0" w:space="0" w:color="auto"/>
        <w:left w:val="none" w:sz="0" w:space="0" w:color="auto"/>
        <w:bottom w:val="none" w:sz="0" w:space="0" w:color="auto"/>
        <w:right w:val="none" w:sz="0" w:space="0" w:color="auto"/>
      </w:divBdr>
      <w:divsChild>
        <w:div w:id="719135483">
          <w:marLeft w:val="360"/>
          <w:marRight w:val="0"/>
          <w:marTop w:val="200"/>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7216803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20318178">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75652463">
      <w:bodyDiv w:val="1"/>
      <w:marLeft w:val="0"/>
      <w:marRight w:val="0"/>
      <w:marTop w:val="0"/>
      <w:marBottom w:val="0"/>
      <w:divBdr>
        <w:top w:val="none" w:sz="0" w:space="0" w:color="auto"/>
        <w:left w:val="none" w:sz="0" w:space="0" w:color="auto"/>
        <w:bottom w:val="none" w:sz="0" w:space="0" w:color="auto"/>
        <w:right w:val="none" w:sz="0" w:space="0" w:color="auto"/>
      </w:divBdr>
      <w:divsChild>
        <w:div w:id="431973351">
          <w:marLeft w:val="1080"/>
          <w:marRight w:val="0"/>
          <w:marTop w:val="100"/>
          <w:marBottom w:val="0"/>
          <w:divBdr>
            <w:top w:val="none" w:sz="0" w:space="0" w:color="auto"/>
            <w:left w:val="none" w:sz="0" w:space="0" w:color="auto"/>
            <w:bottom w:val="none" w:sz="0" w:space="0" w:color="auto"/>
            <w:right w:val="none" w:sz="0" w:space="0" w:color="auto"/>
          </w:divBdr>
        </w:div>
        <w:div w:id="2061856568">
          <w:marLeft w:val="1987"/>
          <w:marRight w:val="0"/>
          <w:marTop w:val="100"/>
          <w:marBottom w:val="0"/>
          <w:divBdr>
            <w:top w:val="none" w:sz="0" w:space="0" w:color="auto"/>
            <w:left w:val="none" w:sz="0" w:space="0" w:color="auto"/>
            <w:bottom w:val="none" w:sz="0" w:space="0" w:color="auto"/>
            <w:right w:val="none" w:sz="0" w:space="0" w:color="auto"/>
          </w:divBdr>
        </w:div>
        <w:div w:id="1313482701">
          <w:marLeft w:val="1987"/>
          <w:marRight w:val="0"/>
          <w:marTop w:val="100"/>
          <w:marBottom w:val="0"/>
          <w:divBdr>
            <w:top w:val="none" w:sz="0" w:space="0" w:color="auto"/>
            <w:left w:val="none" w:sz="0" w:space="0" w:color="auto"/>
            <w:bottom w:val="none" w:sz="0" w:space="0" w:color="auto"/>
            <w:right w:val="none" w:sz="0" w:space="0" w:color="auto"/>
          </w:divBdr>
        </w:div>
        <w:div w:id="1515067643">
          <w:marLeft w:val="1987"/>
          <w:marRight w:val="0"/>
          <w:marTop w:val="100"/>
          <w:marBottom w:val="0"/>
          <w:divBdr>
            <w:top w:val="none" w:sz="0" w:space="0" w:color="auto"/>
            <w:left w:val="none" w:sz="0" w:space="0" w:color="auto"/>
            <w:bottom w:val="none" w:sz="0" w:space="0" w:color="auto"/>
            <w:right w:val="none" w:sz="0" w:space="0" w:color="auto"/>
          </w:divBdr>
        </w:div>
        <w:div w:id="1906331297">
          <w:marLeft w:val="1080"/>
          <w:marRight w:val="0"/>
          <w:marTop w:val="100"/>
          <w:marBottom w:val="0"/>
          <w:divBdr>
            <w:top w:val="none" w:sz="0" w:space="0" w:color="auto"/>
            <w:left w:val="none" w:sz="0" w:space="0" w:color="auto"/>
            <w:bottom w:val="none" w:sz="0" w:space="0" w:color="auto"/>
            <w:right w:val="none" w:sz="0" w:space="0" w:color="auto"/>
          </w:divBdr>
        </w:div>
        <w:div w:id="931430361">
          <w:marLeft w:val="1080"/>
          <w:marRight w:val="0"/>
          <w:marTop w:val="100"/>
          <w:marBottom w:val="0"/>
          <w:divBdr>
            <w:top w:val="none" w:sz="0" w:space="0" w:color="auto"/>
            <w:left w:val="none" w:sz="0" w:space="0" w:color="auto"/>
            <w:bottom w:val="none" w:sz="0" w:space="0" w:color="auto"/>
            <w:right w:val="none" w:sz="0" w:space="0" w:color="auto"/>
          </w:divBdr>
        </w:div>
        <w:div w:id="400375430">
          <w:marLeft w:val="1987"/>
          <w:marRight w:val="0"/>
          <w:marTop w:val="100"/>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8</Pages>
  <Words>3390</Words>
  <Characters>19325</Characters>
  <Application>Microsoft Office Word</Application>
  <DocSecurity>0</DocSecurity>
  <Lines>161</Lines>
  <Paragraphs>45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5</cp:revision>
  <cp:lastPrinted>2016-08-05T18:54:00Z</cp:lastPrinted>
  <dcterms:created xsi:type="dcterms:W3CDTF">2022-01-10T04:11:00Z</dcterms:created>
  <dcterms:modified xsi:type="dcterms:W3CDTF">2022-01-10T20:52:00Z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